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5A7F9" w14:textId="4A928D1E" w:rsidR="00D14C6E" w:rsidRDefault="00D14C6E">
      <w:r w:rsidRPr="00D14C6E">
        <w:rPr>
          <w:noProof/>
          <w:lang w:bidi="fr-CA"/>
        </w:rPr>
        <w:drawing>
          <wp:anchor distT="0" distB="0" distL="114300" distR="114300" simplePos="0" relativeHeight="251659264" behindDoc="0" locked="0" layoutInCell="1" allowOverlap="1" wp14:anchorId="733C9F85" wp14:editId="2924C644">
            <wp:simplePos x="0" y="0"/>
            <wp:positionH relativeFrom="margin">
              <wp:align>right</wp:align>
            </wp:positionH>
            <wp:positionV relativeFrom="paragraph">
              <wp:posOffset>0</wp:posOffset>
            </wp:positionV>
            <wp:extent cx="5943600" cy="1670050"/>
            <wp:effectExtent l="0" t="0" r="0" b="6350"/>
            <wp:wrapNone/>
            <wp:docPr id="2209" name="Picture 2209"/>
            <wp:cNvGraphicFramePr/>
            <a:graphic xmlns:a="http://schemas.openxmlformats.org/drawingml/2006/main">
              <a:graphicData uri="http://schemas.openxmlformats.org/drawingml/2006/picture">
                <pic:pic xmlns:pic="http://schemas.openxmlformats.org/drawingml/2006/picture">
                  <pic:nvPicPr>
                    <pic:cNvPr id="2209" name="Picture 2209"/>
                    <pic:cNvPicPr/>
                  </pic:nvPicPr>
                  <pic:blipFill>
                    <a:blip r:embed="rId10"/>
                    <a:stretch>
                      <a:fillRect/>
                    </a:stretch>
                  </pic:blipFill>
                  <pic:spPr>
                    <a:xfrm>
                      <a:off x="0" y="0"/>
                      <a:ext cx="5943600" cy="1670050"/>
                    </a:xfrm>
                    <a:prstGeom prst="rect">
                      <a:avLst/>
                    </a:prstGeom>
                  </pic:spPr>
                </pic:pic>
              </a:graphicData>
            </a:graphic>
            <wp14:sizeRelH relativeFrom="margin">
              <wp14:pctWidth>0</wp14:pctWidth>
            </wp14:sizeRelH>
          </wp:anchor>
        </w:drawing>
      </w:r>
      <w:r w:rsidRPr="00D14C6E">
        <w:rPr>
          <w:noProof/>
          <w:lang w:bidi="fr-CA"/>
        </w:rPr>
        <mc:AlternateContent>
          <mc:Choice Requires="wps">
            <w:drawing>
              <wp:anchor distT="0" distB="0" distL="114300" distR="114300" simplePos="0" relativeHeight="251660288" behindDoc="0" locked="0" layoutInCell="1" allowOverlap="1" wp14:anchorId="379A9F4D" wp14:editId="41DE216B">
                <wp:simplePos x="0" y="0"/>
                <wp:positionH relativeFrom="column">
                  <wp:posOffset>293370</wp:posOffset>
                </wp:positionH>
                <wp:positionV relativeFrom="paragraph">
                  <wp:posOffset>622300</wp:posOffset>
                </wp:positionV>
                <wp:extent cx="4309380" cy="639538"/>
                <wp:effectExtent l="0" t="0" r="0" b="0"/>
                <wp:wrapNone/>
                <wp:docPr id="188" name="Rectangle 188"/>
                <wp:cNvGraphicFramePr/>
                <a:graphic xmlns:a="http://schemas.openxmlformats.org/drawingml/2006/main">
                  <a:graphicData uri="http://schemas.microsoft.com/office/word/2010/wordprocessingShape">
                    <wps:wsp>
                      <wps:cNvSpPr/>
                      <wps:spPr>
                        <a:xfrm>
                          <a:off x="0" y="0"/>
                          <a:ext cx="4309380" cy="639538"/>
                        </a:xfrm>
                        <a:prstGeom prst="rect">
                          <a:avLst/>
                        </a:prstGeom>
                        <a:ln>
                          <a:noFill/>
                        </a:ln>
                      </wps:spPr>
                      <wps:txbx>
                        <w:txbxContent>
                          <w:p w14:paraId="3C209F78" w14:textId="77777777" w:rsidR="00D14C6E" w:rsidRDefault="00D14C6E" w:rsidP="00D14C6E">
                            <w:r>
                              <w:rPr>
                                <w:rFonts w:ascii="Arial" w:eastAsia="Arial" w:hAnsi="Arial" w:cs="Arial"/>
                                <w:color w:val="FFFFFF"/>
                                <w:sz w:val="68"/>
                                <w:lang w:bidi="fr-CA"/>
                              </w:rPr>
                              <w:t xml:space="preserve">Nasdaq Canada </w:t>
                            </w:r>
                          </w:p>
                        </w:txbxContent>
                      </wps:txbx>
                      <wps:bodyPr horzOverflow="overflow" vert="horz" lIns="0" tIns="0" rIns="0" bIns="0" rtlCol="0">
                        <a:noAutofit/>
                      </wps:bodyPr>
                    </wps:wsp>
                  </a:graphicData>
                </a:graphic>
              </wp:anchor>
            </w:drawing>
          </mc:Choice>
          <mc:Fallback xmlns:pic="http://schemas.openxmlformats.org/drawingml/2006/picture" xmlns:a="http://schemas.openxmlformats.org/drawingml/2006/main" xmlns:w16sdtdh="http://schemas.microsoft.com/office/word/2020/wordml/sdtdatahash">
            <w:pict>
              <v:rect id="Rectangle 188" style="position:absolute;margin-left:23.1pt;margin-top:49pt;width:339.3pt;height:50.35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w14:anchorId="379A9F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">
                <v:textbox inset="0,0,0,0">
                  <w:txbxContent>
                    <w:p w:rsidR="00D14C6E" w:rsidP="00D14C6E" w:rsidRDefault="00D14C6E" w14:paraId="3C209F78" w14:textId="77777777">
                      <w:r>
                        <w:rPr>
                          <w:rFonts w:ascii="Arial" w:hAnsi="Arial" w:eastAsia="Arial" w:cs="Arial"/>
                          <w:color w:val="FFFFFF"/>
                          <w:sz w:val="68"/>
                          <w:lang w:bidi="fr-CA"/>
                        </w:rPr>
                        <w:t xml:space="preserve">Nasdaq Canada </w:t>
                      </w:r>
                    </w:p>
                  </w:txbxContent>
                </v:textbox>
              </v:rect>
            </w:pict>
          </mc:Fallback>
        </mc:AlternateContent>
      </w:r>
    </w:p>
    <w:p w14:paraId="6130D588" w14:textId="297CAE3B" w:rsidR="00D14C6E" w:rsidRDefault="00D14C6E"/>
    <w:p w14:paraId="2F34CF86" w14:textId="180A031A" w:rsidR="00D14C6E" w:rsidRDefault="00D14C6E"/>
    <w:p w14:paraId="5325B17E" w14:textId="68171FB0" w:rsidR="00D14C6E" w:rsidRDefault="00D14C6E"/>
    <w:p w14:paraId="5A2798E0" w14:textId="77777777" w:rsidR="00D14C6E" w:rsidRDefault="00D14C6E"/>
    <w:p w14:paraId="31E65D9D" w14:textId="77777777" w:rsidR="00D14C6E" w:rsidRDefault="00D14C6E"/>
    <w:p w14:paraId="7DDD4E32" w14:textId="77777777" w:rsidR="00D14C6E" w:rsidRPr="00D14C6E" w:rsidRDefault="00D14C6E">
      <w:pPr>
        <w:rPr>
          <w:rFonts w:ascii="Arial" w:hAnsi="Arial" w:cs="Arial"/>
        </w:rPr>
      </w:pPr>
    </w:p>
    <w:p w14:paraId="4EAF94E8" w14:textId="4AC1947E" w:rsidR="00B47DF1" w:rsidRPr="00D14C6E" w:rsidRDefault="000F6F82">
      <w:pPr>
        <w:rPr>
          <w:rFonts w:ascii="Arial" w:hAnsi="Arial" w:cs="Arial"/>
          <w:b/>
          <w:bCs/>
          <w:sz w:val="21"/>
          <w:szCs w:val="21"/>
        </w:rPr>
      </w:pPr>
      <w:r w:rsidRPr="538C925E">
        <w:rPr>
          <w:rFonts w:ascii="Arial" w:eastAsia="Arial" w:hAnsi="Arial" w:cs="Arial"/>
          <w:b/>
          <w:bCs/>
          <w:sz w:val="21"/>
          <w:szCs w:val="21"/>
          <w:lang w:bidi="fr-CA"/>
        </w:rPr>
        <w:t>Avis</w:t>
      </w:r>
      <w:r w:rsidR="009B69B1" w:rsidRPr="538C925E">
        <w:rPr>
          <w:rFonts w:ascii="Arial" w:eastAsia="Arial" w:hAnsi="Arial" w:cs="Arial"/>
          <w:b/>
          <w:bCs/>
          <w:sz w:val="21"/>
          <w:szCs w:val="21"/>
          <w:lang w:bidi="fr-CA"/>
        </w:rPr>
        <w:t> </w:t>
      </w:r>
      <w:r w:rsidRPr="538C925E">
        <w:rPr>
          <w:rFonts w:ascii="Arial" w:eastAsia="Arial" w:hAnsi="Arial" w:cs="Arial"/>
          <w:b/>
          <w:bCs/>
          <w:sz w:val="21"/>
          <w:szCs w:val="21"/>
          <w:lang w:bidi="fr-CA"/>
        </w:rPr>
        <w:t>202</w:t>
      </w:r>
      <w:r w:rsidR="00BE4D5B">
        <w:rPr>
          <w:rFonts w:ascii="Arial" w:eastAsia="Arial" w:hAnsi="Arial" w:cs="Arial"/>
          <w:b/>
          <w:bCs/>
          <w:sz w:val="21"/>
          <w:szCs w:val="21"/>
          <w:lang w:bidi="fr-CA"/>
        </w:rPr>
        <w:t>2</w:t>
      </w:r>
      <w:r w:rsidRPr="538C925E">
        <w:rPr>
          <w:rFonts w:ascii="Arial" w:eastAsia="Arial" w:hAnsi="Arial" w:cs="Arial"/>
          <w:b/>
          <w:bCs/>
          <w:sz w:val="21"/>
          <w:szCs w:val="21"/>
          <w:lang w:bidi="fr-CA"/>
        </w:rPr>
        <w:t>-</w:t>
      </w:r>
      <w:r w:rsidR="00BE4D5B">
        <w:rPr>
          <w:rFonts w:ascii="Arial" w:eastAsia="Arial" w:hAnsi="Arial" w:cs="Arial"/>
          <w:b/>
          <w:bCs/>
          <w:sz w:val="21"/>
          <w:szCs w:val="21"/>
          <w:lang w:bidi="fr-CA"/>
        </w:rPr>
        <w:t>010</w:t>
      </w:r>
      <w:r w:rsidR="009348CC">
        <w:rPr>
          <w:rFonts w:ascii="Arial" w:eastAsia="Arial" w:hAnsi="Arial" w:cs="Arial"/>
          <w:b/>
          <w:bCs/>
          <w:sz w:val="21"/>
          <w:szCs w:val="21"/>
          <w:lang w:bidi="fr-CA"/>
        </w:rPr>
        <w:t>6</w:t>
      </w:r>
      <w:r w:rsidRPr="538C925E">
        <w:rPr>
          <w:rFonts w:ascii="Arial" w:eastAsia="Arial" w:hAnsi="Arial" w:cs="Arial"/>
          <w:b/>
          <w:bCs/>
          <w:sz w:val="21"/>
          <w:szCs w:val="21"/>
          <w:lang w:bidi="fr-CA"/>
        </w:rPr>
        <w:t xml:space="preserve">-01 </w:t>
      </w:r>
      <w:r>
        <w:tab/>
      </w:r>
      <w:r>
        <w:tab/>
      </w:r>
      <w:r>
        <w:tab/>
      </w:r>
      <w:r>
        <w:tab/>
      </w:r>
      <w:r>
        <w:tab/>
      </w:r>
      <w:r>
        <w:tab/>
      </w:r>
      <w:r>
        <w:tab/>
      </w:r>
      <w:r>
        <w:tab/>
      </w:r>
      <w:r w:rsidR="009B69B1" w:rsidRPr="538C925E">
        <w:rPr>
          <w:rFonts w:ascii="Arial" w:eastAsia="Arial" w:hAnsi="Arial" w:cs="Arial"/>
          <w:b/>
          <w:bCs/>
          <w:sz w:val="21"/>
          <w:szCs w:val="21"/>
          <w:lang w:bidi="fr-CA"/>
        </w:rPr>
        <w:t>L</w:t>
      </w:r>
      <w:r w:rsidRPr="538C925E">
        <w:rPr>
          <w:rFonts w:ascii="Arial" w:eastAsia="Arial" w:hAnsi="Arial" w:cs="Arial"/>
          <w:b/>
          <w:bCs/>
          <w:sz w:val="21"/>
          <w:szCs w:val="21"/>
          <w:lang w:bidi="fr-CA"/>
        </w:rPr>
        <w:t xml:space="preserve">e </w:t>
      </w:r>
      <w:r w:rsidR="009348CC">
        <w:rPr>
          <w:rFonts w:ascii="Arial" w:eastAsia="Arial" w:hAnsi="Arial" w:cs="Arial"/>
          <w:b/>
          <w:bCs/>
          <w:sz w:val="21"/>
          <w:szCs w:val="21"/>
          <w:lang w:bidi="fr-CA"/>
        </w:rPr>
        <w:t>6</w:t>
      </w:r>
      <w:r w:rsidR="00BE4D5B">
        <w:rPr>
          <w:rFonts w:ascii="Arial" w:eastAsia="Arial" w:hAnsi="Arial" w:cs="Arial"/>
          <w:b/>
          <w:bCs/>
          <w:sz w:val="21"/>
          <w:szCs w:val="21"/>
          <w:lang w:bidi="fr-CA"/>
        </w:rPr>
        <w:t xml:space="preserve"> janvier</w:t>
      </w:r>
      <w:r w:rsidR="009B69B1" w:rsidRPr="538C925E">
        <w:rPr>
          <w:rFonts w:ascii="Arial" w:eastAsia="Arial" w:hAnsi="Arial" w:cs="Arial"/>
          <w:b/>
          <w:bCs/>
          <w:sz w:val="21"/>
          <w:szCs w:val="21"/>
          <w:lang w:bidi="fr-CA"/>
        </w:rPr>
        <w:t> </w:t>
      </w:r>
      <w:r w:rsidRPr="538C925E">
        <w:rPr>
          <w:rFonts w:ascii="Arial" w:eastAsia="Arial" w:hAnsi="Arial" w:cs="Arial"/>
          <w:b/>
          <w:bCs/>
          <w:sz w:val="21"/>
          <w:szCs w:val="21"/>
          <w:lang w:bidi="fr-CA"/>
        </w:rPr>
        <w:t>202</w:t>
      </w:r>
      <w:r w:rsidR="00BE4D5B">
        <w:rPr>
          <w:rFonts w:ascii="Arial" w:eastAsia="Arial" w:hAnsi="Arial" w:cs="Arial"/>
          <w:b/>
          <w:bCs/>
          <w:sz w:val="21"/>
          <w:szCs w:val="21"/>
          <w:lang w:bidi="fr-CA"/>
        </w:rPr>
        <w:t>2</w:t>
      </w:r>
    </w:p>
    <w:p w14:paraId="0C011E8F" w14:textId="3E44BB65" w:rsidR="00D14C6E" w:rsidRPr="00D14C6E" w:rsidRDefault="00D14C6E">
      <w:pPr>
        <w:rPr>
          <w:rFonts w:ascii="Arial" w:hAnsi="Arial" w:cs="Arial"/>
          <w:sz w:val="21"/>
          <w:szCs w:val="21"/>
        </w:rPr>
      </w:pPr>
      <w:r>
        <w:rPr>
          <w:rFonts w:ascii="Arial" w:eastAsia="Arial" w:hAnsi="Arial" w:cs="Arial"/>
          <w:sz w:val="21"/>
          <w:szCs w:val="21"/>
          <w:lang w:bidi="fr-CA"/>
        </w:rPr>
        <w:t xml:space="preserve"> </w:t>
      </w:r>
    </w:p>
    <w:p w14:paraId="0B693E34" w14:textId="2F9EB441" w:rsidR="000F6F82" w:rsidRPr="00D14C6E" w:rsidRDefault="000F6F82" w:rsidP="00D14C6E">
      <w:pPr>
        <w:shd w:val="clear" w:color="auto" w:fill="FFFFFF"/>
        <w:spacing w:before="225" w:after="60" w:line="240" w:lineRule="auto"/>
        <w:outlineLvl w:val="2"/>
        <w:rPr>
          <w:rFonts w:ascii="Arial" w:eastAsia="Times New Roman" w:hAnsi="Arial" w:cs="Arial"/>
          <w:b/>
          <w:bCs/>
          <w:color w:val="00669E"/>
          <w:sz w:val="21"/>
          <w:szCs w:val="21"/>
        </w:rPr>
      </w:pPr>
      <w:r w:rsidRPr="00D14C6E">
        <w:rPr>
          <w:rFonts w:ascii="Arial" w:eastAsia="Times New Roman" w:hAnsi="Arial" w:cs="Arial"/>
          <w:b/>
          <w:color w:val="00669E"/>
          <w:sz w:val="21"/>
          <w:szCs w:val="21"/>
          <w:lang w:bidi="fr-CA"/>
        </w:rPr>
        <w:t>Qu</w:t>
      </w:r>
      <w:r w:rsidR="009B69B1">
        <w:rPr>
          <w:rFonts w:ascii="Arial" w:eastAsia="Times New Roman" w:hAnsi="Arial" w:cs="Arial"/>
          <w:b/>
          <w:color w:val="00669E"/>
          <w:sz w:val="21"/>
          <w:szCs w:val="21"/>
          <w:lang w:bidi="fr-CA"/>
        </w:rPr>
        <w:t>’</w:t>
      </w:r>
      <w:r w:rsidRPr="00D14C6E">
        <w:rPr>
          <w:rFonts w:ascii="Arial" w:eastAsia="Times New Roman" w:hAnsi="Arial" w:cs="Arial"/>
          <w:b/>
          <w:color w:val="00669E"/>
          <w:sz w:val="21"/>
          <w:szCs w:val="21"/>
          <w:lang w:bidi="fr-CA"/>
        </w:rPr>
        <w:t>est-ce qui est annoncé?</w:t>
      </w:r>
    </w:p>
    <w:p w14:paraId="2B98B68C" w14:textId="7D3B6D1A" w:rsidR="000F6F82" w:rsidRPr="00D14C6E" w:rsidRDefault="000F6F82">
      <w:pPr>
        <w:rPr>
          <w:rFonts w:ascii="Arial" w:hAnsi="Arial" w:cs="Arial"/>
          <w:sz w:val="21"/>
          <w:szCs w:val="21"/>
        </w:rPr>
      </w:pPr>
      <w:r w:rsidRPr="00D14C6E">
        <w:rPr>
          <w:rFonts w:ascii="Arial" w:eastAsia="Arial" w:hAnsi="Arial" w:cs="Arial"/>
          <w:sz w:val="21"/>
          <w:szCs w:val="21"/>
          <w:lang w:bidi="fr-CA"/>
        </w:rPr>
        <w:t>Nasdaq introduit une licence d</w:t>
      </w:r>
      <w:r w:rsidR="009B69B1">
        <w:rPr>
          <w:rFonts w:ascii="Arial" w:eastAsia="Arial" w:hAnsi="Arial" w:cs="Arial"/>
          <w:sz w:val="21"/>
          <w:szCs w:val="21"/>
          <w:lang w:bidi="fr-CA"/>
        </w:rPr>
        <w:t>’</w:t>
      </w:r>
      <w:r w:rsidRPr="00D14C6E">
        <w:rPr>
          <w:rFonts w:ascii="Arial" w:eastAsia="Arial" w:hAnsi="Arial" w:cs="Arial"/>
          <w:sz w:val="21"/>
          <w:szCs w:val="21"/>
          <w:lang w:bidi="fr-CA"/>
        </w:rPr>
        <w:t>entreprise Basic Canada Plus afin d</w:t>
      </w:r>
      <w:r w:rsidR="009B69B1">
        <w:rPr>
          <w:rFonts w:ascii="Arial" w:eastAsia="Arial" w:hAnsi="Arial" w:cs="Arial"/>
          <w:sz w:val="21"/>
          <w:szCs w:val="21"/>
          <w:lang w:bidi="fr-CA"/>
        </w:rPr>
        <w:t>’</w:t>
      </w:r>
      <w:r w:rsidRPr="00D14C6E">
        <w:rPr>
          <w:rFonts w:ascii="Arial" w:eastAsia="Arial" w:hAnsi="Arial" w:cs="Arial"/>
          <w:sz w:val="21"/>
          <w:szCs w:val="21"/>
          <w:lang w:bidi="fr-CA"/>
        </w:rPr>
        <w:t>élargir les possibilités d</w:t>
      </w:r>
      <w:r w:rsidR="009B69B1">
        <w:rPr>
          <w:rFonts w:ascii="Arial" w:eastAsia="Arial" w:hAnsi="Arial" w:cs="Arial"/>
          <w:sz w:val="21"/>
          <w:szCs w:val="21"/>
          <w:lang w:bidi="fr-CA"/>
        </w:rPr>
        <w:t>’</w:t>
      </w:r>
      <w:r w:rsidRPr="00D14C6E">
        <w:rPr>
          <w:rFonts w:ascii="Arial" w:eastAsia="Arial" w:hAnsi="Arial" w:cs="Arial"/>
          <w:sz w:val="21"/>
          <w:szCs w:val="21"/>
          <w:lang w:bidi="fr-CA"/>
        </w:rPr>
        <w:t>économies sur les données de marché au Canada. Cette licence offre une distribution illimitée de solutions Nasdaq Basic Canada, CXC niveau</w:t>
      </w:r>
      <w:r w:rsidR="009B69B1">
        <w:rPr>
          <w:rFonts w:ascii="Arial" w:eastAsia="Arial" w:hAnsi="Arial" w:cs="Arial"/>
          <w:sz w:val="21"/>
          <w:szCs w:val="21"/>
          <w:lang w:bidi="fr-CA"/>
        </w:rPr>
        <w:t> </w:t>
      </w:r>
      <w:r w:rsidRPr="00D14C6E">
        <w:rPr>
          <w:rFonts w:ascii="Arial" w:eastAsia="Arial" w:hAnsi="Arial" w:cs="Arial"/>
          <w:sz w:val="21"/>
          <w:szCs w:val="21"/>
          <w:lang w:bidi="fr-CA"/>
        </w:rPr>
        <w:t>2 et CX2 niveau</w:t>
      </w:r>
      <w:r w:rsidR="009B69B1">
        <w:rPr>
          <w:rFonts w:ascii="Arial" w:eastAsia="Arial" w:hAnsi="Arial" w:cs="Arial"/>
          <w:sz w:val="21"/>
          <w:szCs w:val="21"/>
          <w:lang w:bidi="fr-CA"/>
        </w:rPr>
        <w:t> </w:t>
      </w:r>
      <w:r w:rsidRPr="00D14C6E">
        <w:rPr>
          <w:rFonts w:ascii="Arial" w:eastAsia="Arial" w:hAnsi="Arial" w:cs="Arial"/>
          <w:sz w:val="21"/>
          <w:szCs w:val="21"/>
          <w:lang w:bidi="fr-CA"/>
        </w:rPr>
        <w:t>2 à tous les utilisateurs individuels qui ont une relation client avec un courtier en valeurs mobilières. Cette licence offre aux entreprises la possibilité de distribuer davantage de renseignements à un plus grand nombre d</w:t>
      </w:r>
      <w:r w:rsidR="009B69B1">
        <w:rPr>
          <w:rFonts w:ascii="Arial" w:eastAsia="Arial" w:hAnsi="Arial" w:cs="Arial"/>
          <w:sz w:val="21"/>
          <w:szCs w:val="21"/>
          <w:lang w:bidi="fr-CA"/>
        </w:rPr>
        <w:t>’</w:t>
      </w:r>
      <w:r w:rsidRPr="00D14C6E">
        <w:rPr>
          <w:rFonts w:ascii="Arial" w:eastAsia="Arial" w:hAnsi="Arial" w:cs="Arial"/>
          <w:sz w:val="21"/>
          <w:szCs w:val="21"/>
          <w:lang w:bidi="fr-CA"/>
        </w:rPr>
        <w:t>utilisateurs, tout en réduisant considérablement les coûts des données de marché.</w:t>
      </w:r>
      <w:r w:rsidR="0027750A">
        <w:rPr>
          <w:rFonts w:ascii="Arial" w:eastAsia="Arial" w:hAnsi="Arial" w:cs="Arial"/>
          <w:sz w:val="21"/>
          <w:szCs w:val="21"/>
          <w:lang w:bidi="fr-CA"/>
        </w:rPr>
        <w:t xml:space="preserve"> </w:t>
      </w:r>
    </w:p>
    <w:p w14:paraId="7AEEEB3C" w14:textId="237F9B23" w:rsidR="000F6F82" w:rsidRPr="00D14C6E" w:rsidRDefault="000A1200" w:rsidP="00D14C6E">
      <w:pPr>
        <w:shd w:val="clear" w:color="auto" w:fill="FFFFFF"/>
        <w:spacing w:before="225" w:after="60" w:line="240" w:lineRule="auto"/>
        <w:outlineLvl w:val="2"/>
        <w:rPr>
          <w:rFonts w:ascii="Arial" w:eastAsia="Times New Roman" w:hAnsi="Arial" w:cs="Arial"/>
          <w:b/>
          <w:bCs/>
          <w:color w:val="00669E"/>
          <w:sz w:val="21"/>
          <w:szCs w:val="21"/>
        </w:rPr>
      </w:pPr>
      <w:r w:rsidRPr="00D14C6E">
        <w:rPr>
          <w:rFonts w:ascii="Arial" w:eastAsia="Times New Roman" w:hAnsi="Arial" w:cs="Arial"/>
          <w:b/>
          <w:color w:val="00669E"/>
          <w:sz w:val="21"/>
          <w:szCs w:val="21"/>
          <w:lang w:bidi="fr-CA"/>
        </w:rPr>
        <w:t>Quelles sont les données comprises dans la licence d</w:t>
      </w:r>
      <w:r w:rsidR="009B69B1">
        <w:rPr>
          <w:rFonts w:ascii="Arial" w:eastAsia="Times New Roman" w:hAnsi="Arial" w:cs="Arial"/>
          <w:b/>
          <w:color w:val="00669E"/>
          <w:sz w:val="21"/>
          <w:szCs w:val="21"/>
          <w:lang w:bidi="fr-CA"/>
        </w:rPr>
        <w:t>’</w:t>
      </w:r>
      <w:r w:rsidRPr="00D14C6E">
        <w:rPr>
          <w:rFonts w:ascii="Arial" w:eastAsia="Times New Roman" w:hAnsi="Arial" w:cs="Arial"/>
          <w:b/>
          <w:color w:val="00669E"/>
          <w:sz w:val="21"/>
          <w:szCs w:val="21"/>
          <w:lang w:bidi="fr-CA"/>
        </w:rPr>
        <w:t>entreprise?</w:t>
      </w:r>
    </w:p>
    <w:p w14:paraId="70604548" w14:textId="30C55E6D" w:rsidR="000A1200" w:rsidRPr="00D14C6E" w:rsidRDefault="000A1200" w:rsidP="000A1200">
      <w:pPr>
        <w:rPr>
          <w:rFonts w:ascii="Arial" w:hAnsi="Arial" w:cs="Arial"/>
          <w:sz w:val="21"/>
          <w:szCs w:val="21"/>
        </w:rPr>
      </w:pPr>
      <w:r w:rsidRPr="00D14C6E">
        <w:rPr>
          <w:rFonts w:ascii="Arial" w:eastAsia="Arial" w:hAnsi="Arial" w:cs="Arial"/>
          <w:sz w:val="21"/>
          <w:szCs w:val="21"/>
          <w:lang w:bidi="fr-CA"/>
        </w:rPr>
        <w:t>Cette licence offre une distribution illimitée de la solution consolidée de niveau</w:t>
      </w:r>
      <w:r w:rsidR="009B69B1">
        <w:rPr>
          <w:rFonts w:ascii="Arial" w:eastAsia="Arial" w:hAnsi="Arial" w:cs="Arial"/>
          <w:sz w:val="21"/>
          <w:szCs w:val="21"/>
          <w:lang w:bidi="fr-CA"/>
        </w:rPr>
        <w:t> </w:t>
      </w:r>
      <w:r w:rsidRPr="00D14C6E">
        <w:rPr>
          <w:rFonts w:ascii="Arial" w:eastAsia="Arial" w:hAnsi="Arial" w:cs="Arial"/>
          <w:sz w:val="21"/>
          <w:szCs w:val="21"/>
          <w:lang w:bidi="fr-CA"/>
        </w:rPr>
        <w:t>1 de Nasdaq Basic Canada. En outre, la licence couvre l</w:t>
      </w:r>
      <w:r w:rsidR="009B69B1">
        <w:rPr>
          <w:rFonts w:ascii="Arial" w:eastAsia="Arial" w:hAnsi="Arial" w:cs="Arial"/>
          <w:sz w:val="21"/>
          <w:szCs w:val="21"/>
          <w:lang w:bidi="fr-CA"/>
        </w:rPr>
        <w:t>’</w:t>
      </w:r>
      <w:r w:rsidRPr="00D14C6E">
        <w:rPr>
          <w:rFonts w:ascii="Arial" w:eastAsia="Arial" w:hAnsi="Arial" w:cs="Arial"/>
          <w:sz w:val="21"/>
          <w:szCs w:val="21"/>
          <w:lang w:bidi="fr-CA"/>
        </w:rPr>
        <w:t>accès aux données de niveau</w:t>
      </w:r>
      <w:r w:rsidR="009B69B1">
        <w:rPr>
          <w:rFonts w:ascii="Arial" w:eastAsia="Arial" w:hAnsi="Arial" w:cs="Arial"/>
          <w:sz w:val="21"/>
          <w:szCs w:val="21"/>
          <w:lang w:bidi="fr-CA"/>
        </w:rPr>
        <w:t> </w:t>
      </w:r>
      <w:r w:rsidRPr="00D14C6E">
        <w:rPr>
          <w:rFonts w:ascii="Arial" w:eastAsia="Arial" w:hAnsi="Arial" w:cs="Arial"/>
          <w:sz w:val="21"/>
          <w:szCs w:val="21"/>
          <w:lang w:bidi="fr-CA"/>
        </w:rPr>
        <w:t>2 pour les instruments de négociation</w:t>
      </w:r>
      <w:r w:rsidR="009B69B1">
        <w:rPr>
          <w:rFonts w:ascii="Arial" w:eastAsia="Arial" w:hAnsi="Arial" w:cs="Arial"/>
          <w:sz w:val="21"/>
          <w:szCs w:val="21"/>
          <w:lang w:bidi="fr-CA"/>
        </w:rPr>
        <w:t> </w:t>
      </w:r>
      <w:r w:rsidRPr="00D14C6E">
        <w:rPr>
          <w:rFonts w:ascii="Arial" w:eastAsia="Arial" w:hAnsi="Arial" w:cs="Arial"/>
          <w:sz w:val="21"/>
          <w:szCs w:val="21"/>
          <w:lang w:bidi="fr-CA"/>
        </w:rPr>
        <w:t>CXC et CX2 de Nasdaq. Pour plus de précision, la distribution illimitée signifie que toutes les données comprises dans cette licence peuvent être distribuées à un nombre quelconque de personnes ayant une relation client avec un courtier négociant pour un montant forfaitaire.</w:t>
      </w:r>
    </w:p>
    <w:p w14:paraId="384EC900" w14:textId="6B8A6CD1" w:rsidR="000A1200" w:rsidRPr="00D14C6E" w:rsidRDefault="000A1200" w:rsidP="000A1200">
      <w:pPr>
        <w:rPr>
          <w:rFonts w:ascii="Arial" w:hAnsi="Arial" w:cs="Arial"/>
          <w:sz w:val="21"/>
          <w:szCs w:val="21"/>
        </w:rPr>
      </w:pPr>
      <w:r w:rsidRPr="00D14C6E">
        <w:rPr>
          <w:rFonts w:ascii="Arial" w:eastAsia="Arial" w:hAnsi="Arial" w:cs="Arial"/>
          <w:sz w:val="21"/>
          <w:szCs w:val="21"/>
          <w:lang w:bidi="fr-CA"/>
        </w:rPr>
        <w:t>Nasdaq Basic Canada est un flux de données consolidé offrant une solution de rechange pour accéder aux données de niveau</w:t>
      </w:r>
      <w:r w:rsidR="009B69B1">
        <w:rPr>
          <w:rFonts w:ascii="Arial" w:eastAsia="Arial" w:hAnsi="Arial" w:cs="Arial"/>
          <w:sz w:val="21"/>
          <w:szCs w:val="21"/>
          <w:lang w:bidi="fr-CA"/>
        </w:rPr>
        <w:t> </w:t>
      </w:r>
      <w:r w:rsidRPr="00D14C6E">
        <w:rPr>
          <w:rFonts w:ascii="Arial" w:eastAsia="Arial" w:hAnsi="Arial" w:cs="Arial"/>
          <w:sz w:val="21"/>
          <w:szCs w:val="21"/>
          <w:lang w:bidi="fr-CA"/>
        </w:rPr>
        <w:t>1 pour les titres cotés au Canada.</w:t>
      </w:r>
    </w:p>
    <w:p w14:paraId="40856F08" w14:textId="6280F08E" w:rsidR="000A1200" w:rsidRPr="00465501" w:rsidRDefault="000A1200" w:rsidP="00465501">
      <w:pPr>
        <w:shd w:val="clear" w:color="auto" w:fill="FFFFFF"/>
        <w:spacing w:before="225" w:after="60" w:line="240" w:lineRule="auto"/>
        <w:outlineLvl w:val="2"/>
        <w:rPr>
          <w:rFonts w:ascii="Arial" w:eastAsia="Times New Roman" w:hAnsi="Arial" w:cs="Arial"/>
          <w:b/>
          <w:bCs/>
          <w:color w:val="00669E"/>
          <w:sz w:val="21"/>
          <w:szCs w:val="21"/>
        </w:rPr>
      </w:pPr>
      <w:r w:rsidRPr="00465501">
        <w:rPr>
          <w:rFonts w:ascii="Arial" w:eastAsia="Times New Roman" w:hAnsi="Arial" w:cs="Arial"/>
          <w:b/>
          <w:color w:val="00669E"/>
          <w:sz w:val="21"/>
          <w:szCs w:val="21"/>
          <w:lang w:bidi="fr-CA"/>
        </w:rPr>
        <w:t>Pourquoi Nasdaq introduit-il une licence d’entreprise Basic Canada Plus?</w:t>
      </w:r>
    </w:p>
    <w:p w14:paraId="2DBF8CC3" w14:textId="389CD91B" w:rsidR="00465501" w:rsidRPr="00D14C6E" w:rsidRDefault="000A1200" w:rsidP="000A1200">
      <w:pPr>
        <w:rPr>
          <w:rFonts w:ascii="Arial" w:hAnsi="Arial" w:cs="Arial"/>
          <w:sz w:val="21"/>
          <w:szCs w:val="21"/>
        </w:rPr>
      </w:pPr>
      <w:r w:rsidRPr="00D14C6E">
        <w:rPr>
          <w:rFonts w:ascii="Arial" w:eastAsia="Arial" w:hAnsi="Arial" w:cs="Arial"/>
          <w:sz w:val="21"/>
          <w:szCs w:val="21"/>
          <w:lang w:bidi="fr-CA"/>
        </w:rPr>
        <w:t>Alors que les courtiers en valeurs mobilières cherchent à économiser davantage sur les données de marché dans un environnement de détail de plus en plus concurrentiel, Nasdaq présente un moyen de réduire considérablement les dépenses tout en augmentant l</w:t>
      </w:r>
      <w:r w:rsidR="009B69B1">
        <w:rPr>
          <w:rFonts w:ascii="Arial" w:eastAsia="Arial" w:hAnsi="Arial" w:cs="Arial"/>
          <w:sz w:val="21"/>
          <w:szCs w:val="21"/>
          <w:lang w:bidi="fr-CA"/>
        </w:rPr>
        <w:t>’</w:t>
      </w:r>
      <w:r w:rsidRPr="00D14C6E">
        <w:rPr>
          <w:rFonts w:ascii="Arial" w:eastAsia="Arial" w:hAnsi="Arial" w:cs="Arial"/>
          <w:sz w:val="21"/>
          <w:szCs w:val="21"/>
          <w:lang w:bidi="fr-CA"/>
        </w:rPr>
        <w:t>accès à des données de qualité. Cette licence comprend non seulement la distribution illimitée de solutions Nasdaq Basic Canada, mais aussi l</w:t>
      </w:r>
      <w:r w:rsidR="009B69B1">
        <w:rPr>
          <w:rFonts w:ascii="Arial" w:eastAsia="Arial" w:hAnsi="Arial" w:cs="Arial"/>
          <w:sz w:val="21"/>
          <w:szCs w:val="21"/>
          <w:lang w:bidi="fr-CA"/>
        </w:rPr>
        <w:t>’</w:t>
      </w:r>
      <w:r w:rsidRPr="00D14C6E">
        <w:rPr>
          <w:rFonts w:ascii="Arial" w:eastAsia="Arial" w:hAnsi="Arial" w:cs="Arial"/>
          <w:sz w:val="21"/>
          <w:szCs w:val="21"/>
          <w:lang w:bidi="fr-CA"/>
        </w:rPr>
        <w:t>accès aux données</w:t>
      </w:r>
      <w:r w:rsidR="009B69B1">
        <w:rPr>
          <w:rFonts w:ascii="Arial" w:eastAsia="Arial" w:hAnsi="Arial" w:cs="Arial"/>
          <w:sz w:val="21"/>
          <w:szCs w:val="21"/>
          <w:lang w:bidi="fr-CA"/>
        </w:rPr>
        <w:t> </w:t>
      </w:r>
      <w:r w:rsidRPr="00D14C6E">
        <w:rPr>
          <w:rFonts w:ascii="Arial" w:eastAsia="Arial" w:hAnsi="Arial" w:cs="Arial"/>
          <w:sz w:val="21"/>
          <w:szCs w:val="21"/>
          <w:lang w:bidi="fr-CA"/>
        </w:rPr>
        <w:t>CXC et CX2 de niveau</w:t>
      </w:r>
      <w:r w:rsidR="009B69B1">
        <w:rPr>
          <w:rFonts w:ascii="Arial" w:eastAsia="Arial" w:hAnsi="Arial" w:cs="Arial"/>
          <w:sz w:val="21"/>
          <w:szCs w:val="21"/>
          <w:lang w:bidi="fr-CA"/>
        </w:rPr>
        <w:t> </w:t>
      </w:r>
      <w:r w:rsidRPr="00D14C6E">
        <w:rPr>
          <w:rFonts w:ascii="Arial" w:eastAsia="Arial" w:hAnsi="Arial" w:cs="Arial"/>
          <w:sz w:val="21"/>
          <w:szCs w:val="21"/>
          <w:lang w:bidi="fr-CA"/>
        </w:rPr>
        <w:t>2. Cette licence élargit également la portée d’utilisateurs admissibles, afin de viser toutes les personnes ayant une relation client avec un courtier en valeurs mobilières, y compris les comptes personnels d</w:t>
      </w:r>
      <w:r w:rsidR="009B69B1">
        <w:rPr>
          <w:rFonts w:ascii="Arial" w:eastAsia="Arial" w:hAnsi="Arial" w:cs="Arial"/>
          <w:sz w:val="21"/>
          <w:szCs w:val="21"/>
          <w:lang w:bidi="fr-CA"/>
        </w:rPr>
        <w:t>’</w:t>
      </w:r>
      <w:r w:rsidRPr="00D14C6E">
        <w:rPr>
          <w:rFonts w:ascii="Arial" w:eastAsia="Arial" w:hAnsi="Arial" w:cs="Arial"/>
          <w:sz w:val="21"/>
          <w:szCs w:val="21"/>
          <w:lang w:bidi="fr-CA"/>
        </w:rPr>
        <w:t>entreprise.</w:t>
      </w:r>
    </w:p>
    <w:p w14:paraId="24C3C0E0" w14:textId="4463EC28" w:rsidR="000A1200" w:rsidRPr="00465501" w:rsidRDefault="000A1200" w:rsidP="00465501">
      <w:pPr>
        <w:shd w:val="clear" w:color="auto" w:fill="FFFFFF"/>
        <w:spacing w:before="225" w:after="60" w:line="240" w:lineRule="auto"/>
        <w:outlineLvl w:val="2"/>
        <w:rPr>
          <w:rFonts w:ascii="Arial" w:eastAsia="Times New Roman" w:hAnsi="Arial" w:cs="Arial"/>
          <w:b/>
          <w:bCs/>
          <w:color w:val="00669E"/>
          <w:sz w:val="21"/>
          <w:szCs w:val="21"/>
        </w:rPr>
      </w:pPr>
      <w:r w:rsidRPr="00465501">
        <w:rPr>
          <w:rFonts w:ascii="Arial" w:eastAsia="Times New Roman" w:hAnsi="Arial" w:cs="Arial"/>
          <w:b/>
          <w:color w:val="00669E"/>
          <w:sz w:val="21"/>
          <w:szCs w:val="21"/>
          <w:lang w:bidi="fr-CA"/>
        </w:rPr>
        <w:t>Qu</w:t>
      </w:r>
      <w:r w:rsidR="009B69B1">
        <w:rPr>
          <w:rFonts w:ascii="Arial" w:eastAsia="Times New Roman" w:hAnsi="Arial" w:cs="Arial"/>
          <w:b/>
          <w:color w:val="00669E"/>
          <w:sz w:val="21"/>
          <w:szCs w:val="21"/>
          <w:lang w:bidi="fr-CA"/>
        </w:rPr>
        <w:t>’</w:t>
      </w:r>
      <w:r w:rsidRPr="00465501">
        <w:rPr>
          <w:rFonts w:ascii="Arial" w:eastAsia="Times New Roman" w:hAnsi="Arial" w:cs="Arial"/>
          <w:b/>
          <w:color w:val="00669E"/>
          <w:sz w:val="21"/>
          <w:szCs w:val="21"/>
          <w:lang w:bidi="fr-CA"/>
        </w:rPr>
        <w:t>est-ce qui est proposé?</w:t>
      </w:r>
    </w:p>
    <w:p w14:paraId="455D9F7D" w14:textId="01EFB640" w:rsidR="000A1200" w:rsidRPr="00D14C6E" w:rsidRDefault="000A1200" w:rsidP="000A1200">
      <w:pPr>
        <w:rPr>
          <w:rFonts w:ascii="Arial" w:hAnsi="Arial" w:cs="Arial"/>
          <w:sz w:val="21"/>
          <w:szCs w:val="21"/>
        </w:rPr>
      </w:pPr>
      <w:r w:rsidRPr="00D14C6E">
        <w:rPr>
          <w:rFonts w:ascii="Arial" w:eastAsia="Arial" w:hAnsi="Arial" w:cs="Arial"/>
          <w:sz w:val="21"/>
          <w:szCs w:val="21"/>
          <w:lang w:bidi="fr-CA"/>
        </w:rPr>
        <w:t>La licence d’entreprise Nasdaq Basic Canada Plus est une offre dynamique des données consolidées de niveau</w:t>
      </w:r>
      <w:r w:rsidR="009B69B1">
        <w:rPr>
          <w:rFonts w:ascii="Arial" w:eastAsia="Arial" w:hAnsi="Arial" w:cs="Arial"/>
          <w:sz w:val="21"/>
          <w:szCs w:val="21"/>
          <w:lang w:bidi="fr-CA"/>
        </w:rPr>
        <w:t> </w:t>
      </w:r>
      <w:r w:rsidRPr="00D14C6E">
        <w:rPr>
          <w:rFonts w:ascii="Arial" w:eastAsia="Arial" w:hAnsi="Arial" w:cs="Arial"/>
          <w:sz w:val="21"/>
          <w:szCs w:val="21"/>
          <w:lang w:bidi="fr-CA"/>
        </w:rPr>
        <w:t>1 de Nasdaq Basic Canada et de niveau</w:t>
      </w:r>
      <w:r w:rsidR="009B69B1">
        <w:rPr>
          <w:rFonts w:ascii="Arial" w:eastAsia="Arial" w:hAnsi="Arial" w:cs="Arial"/>
          <w:sz w:val="21"/>
          <w:szCs w:val="21"/>
          <w:lang w:bidi="fr-CA"/>
        </w:rPr>
        <w:t> </w:t>
      </w:r>
      <w:r w:rsidRPr="00D14C6E">
        <w:rPr>
          <w:rFonts w:ascii="Arial" w:eastAsia="Arial" w:hAnsi="Arial" w:cs="Arial"/>
          <w:sz w:val="21"/>
          <w:szCs w:val="21"/>
          <w:lang w:bidi="fr-CA"/>
        </w:rPr>
        <w:t>2 des instruments de négociation</w:t>
      </w:r>
      <w:r w:rsidR="009B69B1">
        <w:rPr>
          <w:rFonts w:ascii="Arial" w:eastAsia="Arial" w:hAnsi="Arial" w:cs="Arial"/>
          <w:sz w:val="21"/>
          <w:szCs w:val="21"/>
          <w:lang w:bidi="fr-CA"/>
        </w:rPr>
        <w:t> </w:t>
      </w:r>
      <w:r w:rsidRPr="00D14C6E">
        <w:rPr>
          <w:rFonts w:ascii="Arial" w:eastAsia="Arial" w:hAnsi="Arial" w:cs="Arial"/>
          <w:sz w:val="21"/>
          <w:szCs w:val="21"/>
          <w:lang w:bidi="fr-CA"/>
        </w:rPr>
        <w:t>CXC et CX2 de Nasdaq. Cette licence permet une distribution illimitée de ces données à toutes les personnes ayant une relation client avec un courtier en valeurs mobilières. Veuillez consulter la grille de prix ci-dessous</w:t>
      </w:r>
      <w:r w:rsidR="009B69B1">
        <w:rPr>
          <w:rFonts w:ascii="Arial" w:eastAsia="Arial" w:hAnsi="Arial" w:cs="Arial"/>
          <w:sz w:val="21"/>
          <w:szCs w:val="21"/>
          <w:lang w:bidi="fr-CA"/>
        </w:rPr>
        <w:t> </w:t>
      </w:r>
      <w:r w:rsidRPr="00D14C6E">
        <w:rPr>
          <w:rFonts w:ascii="Arial" w:eastAsia="Arial" w:hAnsi="Arial" w:cs="Arial"/>
          <w:sz w:val="21"/>
          <w:szCs w:val="21"/>
          <w:lang w:bidi="fr-CA"/>
        </w:rPr>
        <w:t>:</w:t>
      </w:r>
    </w:p>
    <w:tbl>
      <w:tblPr>
        <w:tblStyle w:val="TableGrid"/>
        <w:tblW w:w="0" w:type="auto"/>
        <w:tblLook w:val="04A0" w:firstRow="1" w:lastRow="0" w:firstColumn="1" w:lastColumn="0" w:noHBand="0" w:noVBand="1"/>
      </w:tblPr>
      <w:tblGrid>
        <w:gridCol w:w="3116"/>
        <w:gridCol w:w="3117"/>
        <w:gridCol w:w="3117"/>
      </w:tblGrid>
      <w:tr w:rsidR="000A1200" w:rsidRPr="00D14C6E" w14:paraId="34BA0472" w14:textId="77777777" w:rsidTr="000A1200">
        <w:tc>
          <w:tcPr>
            <w:tcW w:w="3116" w:type="dxa"/>
          </w:tcPr>
          <w:p w14:paraId="652D26CD" w14:textId="77777777" w:rsidR="000A1200" w:rsidRPr="00D14C6E" w:rsidRDefault="000A1200" w:rsidP="000A1200">
            <w:pPr>
              <w:rPr>
                <w:rFonts w:ascii="Arial" w:hAnsi="Arial" w:cs="Arial"/>
                <w:sz w:val="21"/>
                <w:szCs w:val="21"/>
              </w:rPr>
            </w:pPr>
          </w:p>
        </w:tc>
        <w:tc>
          <w:tcPr>
            <w:tcW w:w="3117" w:type="dxa"/>
          </w:tcPr>
          <w:p w14:paraId="33BC6A88" w14:textId="28D53A7A" w:rsidR="000A1200" w:rsidRPr="00D14C6E" w:rsidRDefault="00D14C6E" w:rsidP="000A1200">
            <w:pPr>
              <w:rPr>
                <w:rFonts w:ascii="Arial" w:hAnsi="Arial" w:cs="Arial"/>
                <w:sz w:val="21"/>
                <w:szCs w:val="21"/>
              </w:rPr>
            </w:pPr>
            <w:r w:rsidRPr="00D14C6E">
              <w:rPr>
                <w:rFonts w:ascii="Arial" w:eastAsia="Arial" w:hAnsi="Arial" w:cs="Arial"/>
                <w:sz w:val="21"/>
                <w:szCs w:val="21"/>
                <w:lang w:bidi="fr-CA"/>
              </w:rPr>
              <w:t>Forfait de 12</w:t>
            </w:r>
            <w:r w:rsidR="009B69B1">
              <w:rPr>
                <w:rFonts w:ascii="Arial" w:eastAsia="Arial" w:hAnsi="Arial" w:cs="Arial"/>
                <w:sz w:val="21"/>
                <w:szCs w:val="21"/>
                <w:lang w:bidi="fr-CA"/>
              </w:rPr>
              <w:t> </w:t>
            </w:r>
            <w:r w:rsidRPr="00D14C6E">
              <w:rPr>
                <w:rFonts w:ascii="Arial" w:eastAsia="Arial" w:hAnsi="Arial" w:cs="Arial"/>
                <w:sz w:val="21"/>
                <w:szCs w:val="21"/>
                <w:lang w:bidi="fr-CA"/>
              </w:rPr>
              <w:t>mois</w:t>
            </w:r>
          </w:p>
        </w:tc>
        <w:tc>
          <w:tcPr>
            <w:tcW w:w="3117" w:type="dxa"/>
          </w:tcPr>
          <w:p w14:paraId="5E4FC15D" w14:textId="37C1A004" w:rsidR="000A1200" w:rsidRPr="00D14C6E" w:rsidRDefault="00D14C6E" w:rsidP="000A1200">
            <w:pPr>
              <w:rPr>
                <w:rFonts w:ascii="Arial" w:hAnsi="Arial" w:cs="Arial"/>
                <w:sz w:val="21"/>
                <w:szCs w:val="21"/>
              </w:rPr>
            </w:pPr>
            <w:r w:rsidRPr="00D14C6E">
              <w:rPr>
                <w:rFonts w:ascii="Arial" w:eastAsia="Arial" w:hAnsi="Arial" w:cs="Arial"/>
                <w:sz w:val="21"/>
                <w:szCs w:val="21"/>
                <w:lang w:bidi="fr-CA"/>
              </w:rPr>
              <w:t>Forfait mensuel</w:t>
            </w:r>
          </w:p>
        </w:tc>
      </w:tr>
      <w:tr w:rsidR="000A1200" w:rsidRPr="00D14C6E" w14:paraId="228FFBE5" w14:textId="77777777" w:rsidTr="000A1200">
        <w:tc>
          <w:tcPr>
            <w:tcW w:w="3116" w:type="dxa"/>
          </w:tcPr>
          <w:p w14:paraId="1DE760FC" w14:textId="420AB3D2" w:rsidR="000A1200" w:rsidRPr="00D14C6E" w:rsidRDefault="00D14C6E" w:rsidP="000A1200">
            <w:pPr>
              <w:rPr>
                <w:rFonts w:ascii="Arial" w:hAnsi="Arial" w:cs="Arial"/>
                <w:sz w:val="21"/>
                <w:szCs w:val="21"/>
              </w:rPr>
            </w:pPr>
            <w:r w:rsidRPr="00D14C6E">
              <w:rPr>
                <w:rFonts w:ascii="Arial" w:eastAsia="Arial" w:hAnsi="Arial" w:cs="Arial"/>
                <w:sz w:val="21"/>
                <w:szCs w:val="21"/>
                <w:lang w:bidi="fr-CA"/>
              </w:rPr>
              <w:t>Licence d’entreprise Basic Canada Plus</w:t>
            </w:r>
          </w:p>
        </w:tc>
        <w:tc>
          <w:tcPr>
            <w:tcW w:w="3117" w:type="dxa"/>
          </w:tcPr>
          <w:p w14:paraId="50806D6D" w14:textId="7E1DDF64" w:rsidR="000A1200" w:rsidRPr="00D14C6E" w:rsidRDefault="009B69B1" w:rsidP="000A1200">
            <w:pPr>
              <w:rPr>
                <w:rFonts w:ascii="Arial" w:hAnsi="Arial" w:cs="Arial"/>
                <w:sz w:val="21"/>
                <w:szCs w:val="21"/>
              </w:rPr>
            </w:pPr>
            <w:r>
              <w:rPr>
                <w:rFonts w:ascii="Arial" w:eastAsia="Arial" w:hAnsi="Arial" w:cs="Arial"/>
                <w:sz w:val="21"/>
                <w:szCs w:val="21"/>
                <w:lang w:bidi="fr-CA"/>
              </w:rPr>
              <w:t>100 000 </w:t>
            </w:r>
            <w:r w:rsidR="00D14C6E" w:rsidRPr="00D14C6E">
              <w:rPr>
                <w:rFonts w:ascii="Arial" w:eastAsia="Arial" w:hAnsi="Arial" w:cs="Arial"/>
                <w:sz w:val="21"/>
                <w:szCs w:val="21"/>
                <w:lang w:bidi="fr-CA"/>
              </w:rPr>
              <w:t>$ CAD/mois</w:t>
            </w:r>
          </w:p>
        </w:tc>
        <w:tc>
          <w:tcPr>
            <w:tcW w:w="3117" w:type="dxa"/>
          </w:tcPr>
          <w:p w14:paraId="69F2CC2E" w14:textId="0346E6C6" w:rsidR="000A1200" w:rsidRPr="00D14C6E" w:rsidRDefault="009B69B1" w:rsidP="000A1200">
            <w:pPr>
              <w:rPr>
                <w:rFonts w:ascii="Arial" w:hAnsi="Arial" w:cs="Arial"/>
                <w:sz w:val="21"/>
                <w:szCs w:val="21"/>
              </w:rPr>
            </w:pPr>
            <w:r>
              <w:rPr>
                <w:rFonts w:ascii="Arial" w:eastAsia="Arial" w:hAnsi="Arial" w:cs="Arial"/>
                <w:sz w:val="21"/>
                <w:szCs w:val="21"/>
                <w:lang w:bidi="fr-CA"/>
              </w:rPr>
              <w:t>130 000 </w:t>
            </w:r>
            <w:r w:rsidR="00D14C6E" w:rsidRPr="00D14C6E">
              <w:rPr>
                <w:rFonts w:ascii="Arial" w:eastAsia="Arial" w:hAnsi="Arial" w:cs="Arial"/>
                <w:sz w:val="21"/>
                <w:szCs w:val="21"/>
                <w:lang w:bidi="fr-CA"/>
              </w:rPr>
              <w:t>$ CAD/mois</w:t>
            </w:r>
          </w:p>
        </w:tc>
      </w:tr>
    </w:tbl>
    <w:p w14:paraId="37515884" w14:textId="0026C8DC" w:rsidR="000A1200" w:rsidRDefault="000A1200" w:rsidP="000A1200">
      <w:pPr>
        <w:rPr>
          <w:rFonts w:ascii="Arial" w:hAnsi="Arial" w:cs="Arial"/>
        </w:rPr>
      </w:pPr>
    </w:p>
    <w:p w14:paraId="6AF457F7" w14:textId="4A184226" w:rsidR="00465501" w:rsidRPr="00465501" w:rsidRDefault="00465501" w:rsidP="00465501">
      <w:pPr>
        <w:shd w:val="clear" w:color="auto" w:fill="FFFFFF"/>
        <w:spacing w:before="225" w:after="60" w:line="240" w:lineRule="auto"/>
        <w:outlineLvl w:val="2"/>
        <w:rPr>
          <w:rFonts w:ascii="Arial" w:eastAsia="Times New Roman" w:hAnsi="Arial" w:cs="Arial"/>
          <w:b/>
          <w:bCs/>
          <w:color w:val="00669E"/>
          <w:sz w:val="21"/>
          <w:szCs w:val="21"/>
        </w:rPr>
      </w:pPr>
      <w:r w:rsidRPr="00465501">
        <w:rPr>
          <w:rFonts w:ascii="Arial" w:eastAsia="Times New Roman" w:hAnsi="Arial" w:cs="Arial"/>
          <w:b/>
          <w:color w:val="00669E"/>
          <w:sz w:val="21"/>
          <w:szCs w:val="21"/>
          <w:lang w:bidi="fr-CA"/>
        </w:rPr>
        <w:t>En quoi cette licence est-elle différente de l</w:t>
      </w:r>
      <w:r w:rsidR="009B69B1">
        <w:rPr>
          <w:rFonts w:ascii="Arial" w:eastAsia="Times New Roman" w:hAnsi="Arial" w:cs="Arial"/>
          <w:b/>
          <w:color w:val="00669E"/>
          <w:sz w:val="21"/>
          <w:szCs w:val="21"/>
          <w:lang w:bidi="fr-CA"/>
        </w:rPr>
        <w:t>’</w:t>
      </w:r>
      <w:r w:rsidRPr="00465501">
        <w:rPr>
          <w:rFonts w:ascii="Arial" w:eastAsia="Times New Roman" w:hAnsi="Arial" w:cs="Arial"/>
          <w:b/>
          <w:color w:val="00669E"/>
          <w:sz w:val="21"/>
          <w:szCs w:val="21"/>
          <w:lang w:bidi="fr-CA"/>
        </w:rPr>
        <w:t>actuelle licence d’entreprise Nasdaq Basic Canada?</w:t>
      </w:r>
    </w:p>
    <w:p w14:paraId="01E28556" w14:textId="74D344A6" w:rsidR="00465501" w:rsidRDefault="00465501" w:rsidP="00465501">
      <w:pPr>
        <w:rPr>
          <w:rFonts w:ascii="Arial" w:hAnsi="Arial" w:cs="Arial"/>
          <w:sz w:val="21"/>
          <w:szCs w:val="21"/>
        </w:rPr>
      </w:pPr>
      <w:r w:rsidRPr="00465501">
        <w:rPr>
          <w:rFonts w:ascii="Arial" w:eastAsia="Arial" w:hAnsi="Arial" w:cs="Arial"/>
          <w:sz w:val="21"/>
          <w:szCs w:val="21"/>
          <w:lang w:bidi="fr-CA"/>
        </w:rPr>
        <w:t>La licence d’entreprise Nasdaq Basic Canada actuelle offre une distribution illimitée seulement du produit Nasdaq Basic Canada. La licence d’entreprise Nasdaq Basic Canada Plus élargit la gamme de cette distribution pour inclure les données CXC niveau</w:t>
      </w:r>
      <w:r w:rsidR="009B69B1">
        <w:rPr>
          <w:rFonts w:ascii="Arial" w:eastAsia="Arial" w:hAnsi="Arial" w:cs="Arial"/>
          <w:sz w:val="21"/>
          <w:szCs w:val="21"/>
          <w:lang w:bidi="fr-CA"/>
        </w:rPr>
        <w:t> </w:t>
      </w:r>
      <w:r w:rsidRPr="00465501">
        <w:rPr>
          <w:rFonts w:ascii="Arial" w:eastAsia="Arial" w:hAnsi="Arial" w:cs="Arial"/>
          <w:sz w:val="21"/>
          <w:szCs w:val="21"/>
          <w:lang w:bidi="fr-CA"/>
        </w:rPr>
        <w:t>2 et CX2 niveau</w:t>
      </w:r>
      <w:r w:rsidR="009B69B1">
        <w:rPr>
          <w:rFonts w:ascii="Arial" w:eastAsia="Arial" w:hAnsi="Arial" w:cs="Arial"/>
          <w:sz w:val="21"/>
          <w:szCs w:val="21"/>
          <w:lang w:bidi="fr-CA"/>
        </w:rPr>
        <w:t> </w:t>
      </w:r>
      <w:r w:rsidRPr="00465501">
        <w:rPr>
          <w:rFonts w:ascii="Arial" w:eastAsia="Arial" w:hAnsi="Arial" w:cs="Arial"/>
          <w:sz w:val="21"/>
          <w:szCs w:val="21"/>
          <w:lang w:bidi="fr-CA"/>
        </w:rPr>
        <w:t>2. En outre, la licence Basic Canada Plus élargit la portée d’utilisateurs admissibles à toutes les personnes ayant une relation client avec un courtier en valeurs mobilières, y compris les comptes personnels d</w:t>
      </w:r>
      <w:r w:rsidR="009B69B1">
        <w:rPr>
          <w:rFonts w:ascii="Arial" w:eastAsia="Arial" w:hAnsi="Arial" w:cs="Arial"/>
          <w:sz w:val="21"/>
          <w:szCs w:val="21"/>
          <w:lang w:bidi="fr-CA"/>
        </w:rPr>
        <w:t>’</w:t>
      </w:r>
      <w:r w:rsidRPr="00465501">
        <w:rPr>
          <w:rFonts w:ascii="Arial" w:eastAsia="Arial" w:hAnsi="Arial" w:cs="Arial"/>
          <w:sz w:val="21"/>
          <w:szCs w:val="21"/>
          <w:lang w:bidi="fr-CA"/>
        </w:rPr>
        <w:t>entreprise.</w:t>
      </w:r>
      <w:r w:rsidR="006D11BE">
        <w:rPr>
          <w:rFonts w:ascii="Arial" w:eastAsia="Arial" w:hAnsi="Arial" w:cs="Arial"/>
          <w:sz w:val="21"/>
          <w:szCs w:val="21"/>
          <w:lang w:bidi="fr-CA"/>
        </w:rPr>
        <w:t xml:space="preserve"> </w:t>
      </w:r>
    </w:p>
    <w:p w14:paraId="2D4ADFC6" w14:textId="77777777" w:rsidR="00465501" w:rsidRPr="00A66B3C" w:rsidRDefault="00465501" w:rsidP="00465501">
      <w:pPr>
        <w:shd w:val="clear" w:color="auto" w:fill="FFFFFF"/>
        <w:spacing w:before="225" w:after="60" w:line="240" w:lineRule="auto"/>
        <w:outlineLvl w:val="2"/>
        <w:rPr>
          <w:rFonts w:ascii="Arial" w:eastAsia="Times New Roman" w:hAnsi="Arial" w:cs="Arial"/>
          <w:b/>
          <w:bCs/>
          <w:color w:val="00669E"/>
          <w:sz w:val="21"/>
          <w:szCs w:val="21"/>
        </w:rPr>
      </w:pPr>
      <w:r w:rsidRPr="00A66B3C">
        <w:rPr>
          <w:rFonts w:ascii="Arial" w:eastAsia="Times New Roman" w:hAnsi="Arial" w:cs="Arial"/>
          <w:b/>
          <w:color w:val="00669E"/>
          <w:sz w:val="21"/>
          <w:szCs w:val="21"/>
          <w:lang w:bidi="fr-CA"/>
        </w:rPr>
        <w:t>Où puis-je trouver des renseignements supplémentaires?</w:t>
      </w:r>
    </w:p>
    <w:p w14:paraId="2C7785C6" w14:textId="6E342F7A" w:rsidR="00465501" w:rsidRPr="00A66B3C" w:rsidRDefault="00465501" w:rsidP="00465501">
      <w:pPr>
        <w:shd w:val="clear" w:color="auto" w:fill="FFFFFF"/>
        <w:spacing w:after="150" w:line="240" w:lineRule="auto"/>
        <w:rPr>
          <w:rFonts w:ascii="Arial" w:eastAsia="Times New Roman" w:hAnsi="Arial" w:cs="Arial"/>
          <w:color w:val="000000"/>
          <w:sz w:val="21"/>
          <w:szCs w:val="21"/>
        </w:rPr>
      </w:pPr>
      <w:r w:rsidRPr="00A66B3C">
        <w:rPr>
          <w:rFonts w:ascii="Arial" w:eastAsia="Times New Roman" w:hAnsi="Arial" w:cs="Arial"/>
          <w:color w:val="000000"/>
          <w:sz w:val="21"/>
          <w:szCs w:val="21"/>
          <w:lang w:bidi="fr-CA"/>
        </w:rPr>
        <w:t>Les fiches d</w:t>
      </w:r>
      <w:r w:rsidR="009B69B1">
        <w:rPr>
          <w:rFonts w:ascii="Arial" w:eastAsia="Times New Roman" w:hAnsi="Arial" w:cs="Arial"/>
          <w:color w:val="000000"/>
          <w:sz w:val="21"/>
          <w:szCs w:val="21"/>
          <w:lang w:bidi="fr-CA"/>
        </w:rPr>
        <w:t>’</w:t>
      </w:r>
      <w:r w:rsidRPr="00A66B3C">
        <w:rPr>
          <w:rFonts w:ascii="Arial" w:eastAsia="Times New Roman" w:hAnsi="Arial" w:cs="Arial"/>
          <w:color w:val="000000"/>
          <w:sz w:val="21"/>
          <w:szCs w:val="21"/>
          <w:lang w:bidi="fr-CA"/>
        </w:rPr>
        <w:t>information décrivant la proposition de valeur du produit, les détails techniques et d</w:t>
      </w:r>
      <w:r w:rsidR="009B69B1">
        <w:rPr>
          <w:rFonts w:ascii="Arial" w:eastAsia="Times New Roman" w:hAnsi="Arial" w:cs="Arial"/>
          <w:color w:val="000000"/>
          <w:sz w:val="21"/>
          <w:szCs w:val="21"/>
          <w:lang w:bidi="fr-CA"/>
        </w:rPr>
        <w:t>’</w:t>
      </w:r>
      <w:r w:rsidRPr="00A66B3C">
        <w:rPr>
          <w:rFonts w:ascii="Arial" w:eastAsia="Times New Roman" w:hAnsi="Arial" w:cs="Arial"/>
          <w:color w:val="000000"/>
          <w:sz w:val="21"/>
          <w:szCs w:val="21"/>
          <w:lang w:bidi="fr-CA"/>
        </w:rPr>
        <w:t>autres contenus peuvent être trouvées sur le site Web de Nasdaq Basic Canada disponible ci-dessous</w:t>
      </w:r>
      <w:r w:rsidR="009B69B1">
        <w:rPr>
          <w:rFonts w:ascii="Arial" w:eastAsia="Times New Roman" w:hAnsi="Arial" w:cs="Arial"/>
          <w:color w:val="000000"/>
          <w:sz w:val="21"/>
          <w:szCs w:val="21"/>
          <w:lang w:bidi="fr-CA"/>
        </w:rPr>
        <w:t> </w:t>
      </w:r>
      <w:r w:rsidRPr="00A66B3C">
        <w:rPr>
          <w:rFonts w:ascii="Arial" w:eastAsia="Times New Roman" w:hAnsi="Arial" w:cs="Arial"/>
          <w:color w:val="000000"/>
          <w:sz w:val="21"/>
          <w:szCs w:val="21"/>
          <w:lang w:bidi="fr-CA"/>
        </w:rPr>
        <w:t>:</w:t>
      </w:r>
      <w:r w:rsidR="00717E4B">
        <w:rPr>
          <w:rFonts w:ascii="Arial" w:eastAsia="Times New Roman" w:hAnsi="Arial" w:cs="Arial"/>
          <w:color w:val="000000"/>
          <w:sz w:val="21"/>
          <w:szCs w:val="21"/>
          <w:lang w:bidi="fr-CA"/>
        </w:rPr>
        <w:t xml:space="preserve"> </w:t>
      </w:r>
    </w:p>
    <w:p w14:paraId="0053C46A" w14:textId="33099E0D" w:rsidR="00465501" w:rsidRPr="00A66B3C" w:rsidRDefault="009348CC" w:rsidP="00465501">
      <w:pPr>
        <w:numPr>
          <w:ilvl w:val="0"/>
          <w:numId w:val="1"/>
        </w:numPr>
        <w:shd w:val="clear" w:color="auto" w:fill="FFFFFF"/>
        <w:spacing w:after="0" w:line="240" w:lineRule="auto"/>
        <w:ind w:left="300"/>
        <w:rPr>
          <w:rFonts w:ascii="Arial" w:eastAsia="Times New Roman" w:hAnsi="Arial" w:cs="Arial"/>
          <w:color w:val="000000"/>
          <w:sz w:val="21"/>
          <w:szCs w:val="21"/>
        </w:rPr>
      </w:pPr>
      <w:hyperlink r:id="rId11" w:history="1">
        <w:r w:rsidR="00465501" w:rsidRPr="00A66B3C">
          <w:rPr>
            <w:rFonts w:ascii="Arial" w:eastAsia="Times New Roman" w:hAnsi="Arial" w:cs="Arial"/>
            <w:color w:val="0190C8"/>
            <w:sz w:val="21"/>
            <w:szCs w:val="21"/>
            <w:u w:val="single"/>
            <w:bdr w:val="none" w:sz="0" w:space="0" w:color="auto" w:frame="1"/>
            <w:lang w:bidi="fr-CA"/>
          </w:rPr>
          <w:t>Renseignements sur Nasdaq Basic Canada</w:t>
        </w:r>
      </w:hyperlink>
    </w:p>
    <w:p w14:paraId="28A2D4ED" w14:textId="77777777" w:rsidR="00465501" w:rsidRPr="00A66B3C" w:rsidRDefault="00465501" w:rsidP="00465501">
      <w:pPr>
        <w:spacing w:after="0" w:line="240" w:lineRule="auto"/>
        <w:rPr>
          <w:rFonts w:ascii="Arial" w:eastAsia="Times New Roman" w:hAnsi="Arial" w:cs="Arial"/>
          <w:sz w:val="21"/>
          <w:szCs w:val="21"/>
        </w:rPr>
      </w:pPr>
    </w:p>
    <w:p w14:paraId="6BF79BD4" w14:textId="1DE41764" w:rsidR="00465501" w:rsidRDefault="00465501" w:rsidP="00465501">
      <w:pPr>
        <w:shd w:val="clear" w:color="auto" w:fill="FFFFFF"/>
        <w:spacing w:after="0" w:line="240" w:lineRule="auto"/>
        <w:rPr>
          <w:sz w:val="21"/>
          <w:szCs w:val="21"/>
        </w:rPr>
      </w:pPr>
      <w:r w:rsidRPr="00465501">
        <w:rPr>
          <w:rFonts w:ascii="Arial" w:eastAsia="Arial" w:hAnsi="Arial" w:cs="Arial"/>
          <w:color w:val="000000"/>
          <w:sz w:val="21"/>
          <w:szCs w:val="21"/>
          <w:shd w:val="clear" w:color="auto" w:fill="FFFFFF"/>
          <w:lang w:bidi="fr-CA"/>
        </w:rPr>
        <w:t xml:space="preserve">Si vous souhaitez en savoir plus sur la façon dont vous pouvez commencer à économiser avec Nasdaq Basic Canada, veuillez communiquer avec votre </w:t>
      </w:r>
      <w:hyperlink r:id="rId12" w:history="1">
        <w:r w:rsidRPr="00465501">
          <w:rPr>
            <w:rStyle w:val="Hyperlink"/>
            <w:rFonts w:ascii="Arial" w:eastAsia="Arial" w:hAnsi="Arial" w:cs="Arial"/>
            <w:color w:val="0190C8"/>
            <w:sz w:val="21"/>
            <w:szCs w:val="21"/>
            <w:bdr w:val="none" w:sz="0" w:space="0" w:color="auto" w:frame="1"/>
            <w:lang w:bidi="fr-CA"/>
          </w:rPr>
          <w:t>représentant des ventes de Nasdaq</w:t>
        </w:r>
      </w:hyperlink>
      <w:r w:rsidR="00AC7CEF">
        <w:rPr>
          <w:rStyle w:val="Hyperlink"/>
          <w:rFonts w:ascii="Arial" w:eastAsia="Arial" w:hAnsi="Arial" w:cs="Arial"/>
          <w:color w:val="0190C8"/>
          <w:sz w:val="21"/>
          <w:szCs w:val="21"/>
          <w:bdr w:val="none" w:sz="0" w:space="0" w:color="auto" w:frame="1"/>
          <w:lang w:bidi="fr-CA"/>
        </w:rPr>
        <w:t>.</w:t>
      </w:r>
    </w:p>
    <w:p w14:paraId="790A9551" w14:textId="77777777" w:rsidR="00465501" w:rsidRPr="00465501" w:rsidRDefault="00465501" w:rsidP="00465501">
      <w:pPr>
        <w:shd w:val="clear" w:color="auto" w:fill="FFFFFF"/>
        <w:spacing w:after="0" w:line="240" w:lineRule="auto"/>
        <w:rPr>
          <w:rFonts w:ascii="Arial" w:eastAsia="Times New Roman" w:hAnsi="Arial" w:cs="Arial"/>
          <w:color w:val="000000"/>
          <w:sz w:val="21"/>
          <w:szCs w:val="21"/>
        </w:rPr>
      </w:pPr>
    </w:p>
    <w:p w14:paraId="152208AF" w14:textId="4BE37919" w:rsidR="00465501" w:rsidRPr="00465501" w:rsidRDefault="00465501" w:rsidP="00465501">
      <w:pPr>
        <w:shd w:val="clear" w:color="auto" w:fill="FFFFFF"/>
        <w:spacing w:after="0" w:line="240" w:lineRule="auto"/>
        <w:rPr>
          <w:rFonts w:ascii="Arial" w:eastAsia="Times New Roman" w:hAnsi="Arial" w:cs="Arial"/>
          <w:color w:val="000000"/>
          <w:sz w:val="21"/>
          <w:szCs w:val="21"/>
        </w:rPr>
      </w:pPr>
      <w:r w:rsidRPr="00465501">
        <w:rPr>
          <w:rFonts w:ascii="Arial" w:eastAsia="Times New Roman" w:hAnsi="Arial" w:cs="Arial"/>
          <w:color w:val="000000"/>
          <w:sz w:val="21"/>
          <w:szCs w:val="21"/>
          <w:lang w:bidi="fr-CA"/>
        </w:rPr>
        <w:t>Pour de plus amples renseignements sur la licence d</w:t>
      </w:r>
      <w:r w:rsidR="009B69B1">
        <w:rPr>
          <w:rFonts w:ascii="Arial" w:eastAsia="Times New Roman" w:hAnsi="Arial" w:cs="Arial"/>
          <w:color w:val="000000"/>
          <w:sz w:val="21"/>
          <w:szCs w:val="21"/>
          <w:lang w:bidi="fr-CA"/>
        </w:rPr>
        <w:t>’</w:t>
      </w:r>
      <w:r w:rsidRPr="00465501">
        <w:rPr>
          <w:rFonts w:ascii="Arial" w:eastAsia="Times New Roman" w:hAnsi="Arial" w:cs="Arial"/>
          <w:color w:val="000000"/>
          <w:sz w:val="21"/>
          <w:szCs w:val="21"/>
          <w:lang w:bidi="fr-CA"/>
        </w:rPr>
        <w:t xml:space="preserve">entreprise Nasdaq Basic Canada Plus et Nasdaq Canada, veuillez communiquer avec </w:t>
      </w:r>
      <w:hyperlink r:id="rId13" w:history="1">
        <w:r w:rsidRPr="00465501">
          <w:rPr>
            <w:rFonts w:ascii="Arial" w:eastAsia="Times New Roman" w:hAnsi="Arial" w:cs="Arial"/>
            <w:color w:val="005B7F"/>
            <w:sz w:val="21"/>
            <w:szCs w:val="21"/>
            <w:u w:val="single"/>
            <w:bdr w:val="none" w:sz="0" w:space="0" w:color="auto" w:frame="1"/>
            <w:lang w:bidi="fr-CA"/>
          </w:rPr>
          <w:t>Ca.MarketData@Nasdaq.com</w:t>
        </w:r>
      </w:hyperlink>
      <w:r w:rsidRPr="00465501">
        <w:rPr>
          <w:rFonts w:ascii="Arial" w:eastAsia="Times New Roman" w:hAnsi="Arial" w:cs="Arial"/>
          <w:color w:val="000000"/>
          <w:sz w:val="21"/>
          <w:szCs w:val="21"/>
          <w:lang w:bidi="fr-CA"/>
        </w:rPr>
        <w:t xml:space="preserve"> au </w:t>
      </w:r>
      <w:r w:rsidR="009B69B1">
        <w:rPr>
          <w:rFonts w:ascii="Arial" w:eastAsia="Times New Roman" w:hAnsi="Arial" w:cs="Arial"/>
          <w:color w:val="000000"/>
          <w:sz w:val="21"/>
          <w:szCs w:val="21"/>
          <w:lang w:bidi="fr-CA"/>
        </w:rPr>
        <w:t>+1 301 978-5307</w:t>
      </w:r>
      <w:r w:rsidRPr="00465501">
        <w:rPr>
          <w:rFonts w:ascii="Arial" w:eastAsia="Times New Roman" w:hAnsi="Arial" w:cs="Arial"/>
          <w:color w:val="000000"/>
          <w:sz w:val="21"/>
          <w:szCs w:val="21"/>
          <w:lang w:bidi="fr-CA"/>
        </w:rPr>
        <w:t>.</w:t>
      </w:r>
    </w:p>
    <w:p w14:paraId="6FF0A227" w14:textId="77777777" w:rsidR="00465501" w:rsidRDefault="00465501" w:rsidP="00465501">
      <w:pPr>
        <w:rPr>
          <w:rFonts w:ascii="Arial" w:eastAsia="Times New Roman" w:hAnsi="Arial" w:cs="Arial"/>
          <w:color w:val="000000"/>
          <w:sz w:val="21"/>
          <w:szCs w:val="21"/>
        </w:rPr>
      </w:pPr>
    </w:p>
    <w:p w14:paraId="2ED7F125" w14:textId="77777777" w:rsidR="00465501" w:rsidRPr="00465501" w:rsidRDefault="00465501" w:rsidP="00465501">
      <w:pPr>
        <w:rPr>
          <w:rFonts w:ascii="Arial" w:hAnsi="Arial" w:cs="Arial"/>
          <w:sz w:val="21"/>
          <w:szCs w:val="21"/>
        </w:rPr>
      </w:pPr>
    </w:p>
    <w:p w14:paraId="106BD9B4" w14:textId="77777777" w:rsidR="004D2E34" w:rsidRPr="00465501" w:rsidRDefault="004D2E34">
      <w:pPr>
        <w:rPr>
          <w:rFonts w:ascii="Arial" w:hAnsi="Arial" w:cs="Arial"/>
          <w:sz w:val="21"/>
          <w:szCs w:val="21"/>
        </w:rPr>
      </w:pPr>
    </w:p>
    <w:sectPr w:rsidR="004D2E34" w:rsidRPr="0046550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71863" w14:textId="77777777" w:rsidR="00347F0B" w:rsidRDefault="00347F0B" w:rsidP="000F6F82">
      <w:pPr>
        <w:spacing w:after="0" w:line="240" w:lineRule="auto"/>
      </w:pPr>
      <w:r>
        <w:separator/>
      </w:r>
    </w:p>
  </w:endnote>
  <w:endnote w:type="continuationSeparator" w:id="0">
    <w:p w14:paraId="6E70640A" w14:textId="77777777" w:rsidR="00347F0B" w:rsidRDefault="00347F0B" w:rsidP="000F6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3DAA6" w14:textId="77777777" w:rsidR="00E45C57" w:rsidRDefault="00E45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87FB5" w14:textId="77777777" w:rsidR="00E45C57" w:rsidRDefault="00E45C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64AE7" w14:textId="77777777" w:rsidR="00E45C57" w:rsidRDefault="00E45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59010" w14:textId="77777777" w:rsidR="00347F0B" w:rsidRDefault="00347F0B" w:rsidP="000F6F82">
      <w:pPr>
        <w:spacing w:after="0" w:line="240" w:lineRule="auto"/>
      </w:pPr>
      <w:r>
        <w:separator/>
      </w:r>
    </w:p>
  </w:footnote>
  <w:footnote w:type="continuationSeparator" w:id="0">
    <w:p w14:paraId="4B1AE306" w14:textId="77777777" w:rsidR="00347F0B" w:rsidRDefault="00347F0B" w:rsidP="000F6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E8AC3" w14:textId="77777777" w:rsidR="00E45C57" w:rsidRDefault="00E45C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BC29F" w14:textId="77777777" w:rsidR="00E45C57" w:rsidRDefault="00E45C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CC5FC" w14:textId="77777777" w:rsidR="00E45C57" w:rsidRDefault="00E45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A53EA0"/>
    <w:multiLevelType w:val="multilevel"/>
    <w:tmpl w:val="60B2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16165F"/>
    <w:multiLevelType w:val="multilevel"/>
    <w:tmpl w:val="F7F4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F82"/>
    <w:rsid w:val="000A1200"/>
    <w:rsid w:val="000F6F82"/>
    <w:rsid w:val="001131DC"/>
    <w:rsid w:val="00146D97"/>
    <w:rsid w:val="001C0225"/>
    <w:rsid w:val="0027750A"/>
    <w:rsid w:val="00294D5E"/>
    <w:rsid w:val="00347F0B"/>
    <w:rsid w:val="003A4A3B"/>
    <w:rsid w:val="003F5C90"/>
    <w:rsid w:val="00465501"/>
    <w:rsid w:val="004D2E34"/>
    <w:rsid w:val="0058199C"/>
    <w:rsid w:val="005B7ECD"/>
    <w:rsid w:val="00623437"/>
    <w:rsid w:val="0064384B"/>
    <w:rsid w:val="00683FCF"/>
    <w:rsid w:val="006D11BE"/>
    <w:rsid w:val="00717E4B"/>
    <w:rsid w:val="009348CC"/>
    <w:rsid w:val="009B69B1"/>
    <w:rsid w:val="00A4435D"/>
    <w:rsid w:val="00AC7CEF"/>
    <w:rsid w:val="00B47DF1"/>
    <w:rsid w:val="00BE4D5B"/>
    <w:rsid w:val="00C30099"/>
    <w:rsid w:val="00D14C6E"/>
    <w:rsid w:val="00E40BDB"/>
    <w:rsid w:val="00E45C57"/>
    <w:rsid w:val="538C9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63B4BD"/>
  <w15:chartTrackingRefBased/>
  <w15:docId w15:val="{A9165AC0-B3ED-47B9-BCF5-D806EB074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65501"/>
    <w:rPr>
      <w:color w:val="0000FF"/>
      <w:u w:val="single"/>
    </w:rPr>
  </w:style>
  <w:style w:type="character" w:customStyle="1" w:styleId="apple-converted-space">
    <w:name w:val="apple-converted-space"/>
    <w:basedOn w:val="DefaultParagraphFont"/>
    <w:rsid w:val="00465501"/>
  </w:style>
  <w:style w:type="paragraph" w:styleId="Revision">
    <w:name w:val="Revision"/>
    <w:hidden/>
    <w:uiPriority w:val="99"/>
    <w:semiHidden/>
    <w:rsid w:val="0058199C"/>
    <w:pPr>
      <w:spacing w:after="0" w:line="240" w:lineRule="auto"/>
    </w:pPr>
  </w:style>
  <w:style w:type="paragraph" w:styleId="Header">
    <w:name w:val="header"/>
    <w:basedOn w:val="Normal"/>
    <w:link w:val="HeaderChar"/>
    <w:uiPriority w:val="99"/>
    <w:unhideWhenUsed/>
    <w:rsid w:val="00E45C57"/>
    <w:pPr>
      <w:tabs>
        <w:tab w:val="center" w:pos="4320"/>
        <w:tab w:val="right" w:pos="8640"/>
      </w:tabs>
      <w:spacing w:after="0" w:line="240" w:lineRule="auto"/>
    </w:pPr>
  </w:style>
  <w:style w:type="character" w:customStyle="1" w:styleId="HeaderChar">
    <w:name w:val="Header Char"/>
    <w:basedOn w:val="DefaultParagraphFont"/>
    <w:link w:val="Header"/>
    <w:uiPriority w:val="99"/>
    <w:rsid w:val="00E45C57"/>
  </w:style>
  <w:style w:type="paragraph" w:styleId="Footer">
    <w:name w:val="footer"/>
    <w:basedOn w:val="Normal"/>
    <w:link w:val="FooterChar"/>
    <w:uiPriority w:val="99"/>
    <w:unhideWhenUsed/>
    <w:rsid w:val="00E45C57"/>
    <w:pPr>
      <w:tabs>
        <w:tab w:val="center" w:pos="4320"/>
        <w:tab w:val="right" w:pos="8640"/>
      </w:tabs>
      <w:spacing w:after="0" w:line="240" w:lineRule="auto"/>
    </w:pPr>
  </w:style>
  <w:style w:type="character" w:customStyle="1" w:styleId="FooterChar">
    <w:name w:val="Footer Char"/>
    <w:basedOn w:val="DefaultParagraphFont"/>
    <w:link w:val="Footer"/>
    <w:uiPriority w:val="99"/>
    <w:rsid w:val="00E45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MarketData@Nasdaq.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datasales@nasdaq.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sdaq.com/solutions/nasdaq-basic-canada-fr"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A471D214248D41997A916798A35080" ma:contentTypeVersion="15" ma:contentTypeDescription="Create a new document." ma:contentTypeScope="" ma:versionID="20f7575d5fda6c88d8856ff2b918575f">
  <xsd:schema xmlns:xsd="http://www.w3.org/2001/XMLSchema" xmlns:xs="http://www.w3.org/2001/XMLSchema" xmlns:p="http://schemas.microsoft.com/office/2006/metadata/properties" xmlns:ns1="http://schemas.microsoft.com/sharepoint/v3" xmlns:ns2="210205aa-e4f8-4b87-b9d2-b14de7683a29" xmlns:ns3="b52f0102-b5a2-44bd-84ad-b92fa2421420" targetNamespace="http://schemas.microsoft.com/office/2006/metadata/properties" ma:root="true" ma:fieldsID="3c060df41293790320167327801c9b3b" ns1:_="" ns2:_="" ns3:_="">
    <xsd:import namespace="http://schemas.microsoft.com/sharepoint/v3"/>
    <xsd:import namespace="210205aa-e4f8-4b87-b9d2-b14de7683a29"/>
    <xsd:import namespace="b52f0102-b5a2-44bd-84ad-b92fa24214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0205aa-e4f8-4b87-b9d2-b14de7683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2f0102-b5a2-44bd-84ad-b92fa242142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8F6B57-305E-48AE-A1B1-3E8967EF381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171AF83-000F-43AF-824E-46DCFBBE825D}">
  <ds:schemaRefs>
    <ds:schemaRef ds:uri="http://schemas.microsoft.com/sharepoint/v3/contenttype/forms"/>
  </ds:schemaRefs>
</ds:datastoreItem>
</file>

<file path=customXml/itemProps3.xml><?xml version="1.0" encoding="utf-8"?>
<ds:datastoreItem xmlns:ds="http://schemas.openxmlformats.org/officeDocument/2006/customXml" ds:itemID="{EB14F955-1EFB-4B18-B227-26899B0DC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0205aa-e4f8-4b87-b9d2-b14de7683a29"/>
    <ds:schemaRef ds:uri="b52f0102-b5a2-44bd-84ad-b92fa2421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Mahoney</dc:creator>
  <cp:keywords/>
  <dc:description/>
  <cp:lastModifiedBy>Kate Davis</cp:lastModifiedBy>
  <cp:revision>13</cp:revision>
  <dcterms:created xsi:type="dcterms:W3CDTF">2021-12-16T18:42:00Z</dcterms:created>
  <dcterms:modified xsi:type="dcterms:W3CDTF">2022-01-06T15:58:00Z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8c53105-2268-48cc-bbbd-15c277f43ddd_Enabled">
    <vt:lpwstr>true</vt:lpwstr>
  </property>
  <property fmtid="{D5CDD505-2E9C-101B-9397-08002B2CF9AE}" pid="3" name="MSIP_Label_88c53105-2268-48cc-bbbd-15c277f43ddd_SetDate">
    <vt:lpwstr>2021-12-01T23:44:45Z</vt:lpwstr>
  </property>
  <property fmtid="{D5CDD505-2E9C-101B-9397-08002B2CF9AE}" pid="4" name="MSIP_Label_88c53105-2268-48cc-bbbd-15c277f43ddd_Method">
    <vt:lpwstr>Standard</vt:lpwstr>
  </property>
  <property fmtid="{D5CDD505-2E9C-101B-9397-08002B2CF9AE}" pid="5" name="MSIP_Label_88c53105-2268-48cc-bbbd-15c277f43ddd_Name">
    <vt:lpwstr>Public</vt:lpwstr>
  </property>
  <property fmtid="{D5CDD505-2E9C-101B-9397-08002B2CF9AE}" pid="6" name="MSIP_Label_88c53105-2268-48cc-bbbd-15c277f43ddd_SiteId">
    <vt:lpwstr>d0b75e95-684a-45e3-8d2d-53fa2a6a513f</vt:lpwstr>
  </property>
  <property fmtid="{D5CDD505-2E9C-101B-9397-08002B2CF9AE}" pid="7" name="MSIP_Label_88c53105-2268-48cc-bbbd-15c277f43ddd_ActionId">
    <vt:lpwstr>9f46521d-9115-423d-a794-22dc623da28e</vt:lpwstr>
  </property>
  <property fmtid="{D5CDD505-2E9C-101B-9397-08002B2CF9AE}" pid="8" name="MSIP_Label_88c53105-2268-48cc-bbbd-15c277f43ddd_ContentBits">
    <vt:lpwstr>0</vt:lpwstr>
  </property>
  <property fmtid="{D5CDD505-2E9C-101B-9397-08002B2CF9AE}" pid="9" name="ContentTypeId">
    <vt:lpwstr>0x01010001A471D214248D41997A916798A35080</vt:lpwstr>
  </property>
</Properties>
</file>