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EDED78" w14:textId="77777777" w:rsidR="00B501E3" w:rsidRDefault="00B501E3" w:rsidP="00B501E3">
      <w:pPr>
        <w:rPr>
          <w:b/>
          <w:sz w:val="36"/>
        </w:rPr>
      </w:pPr>
      <w:r w:rsidRPr="0066271A">
        <w:rPr>
          <w:b/>
          <w:sz w:val="36"/>
        </w:rPr>
        <w:t xml:space="preserve">First North Company Description </w:t>
      </w:r>
      <w:proofErr w:type="gramStart"/>
      <w:r w:rsidRPr="0066271A">
        <w:rPr>
          <w:b/>
          <w:sz w:val="36"/>
        </w:rPr>
        <w:t>Check-List</w:t>
      </w:r>
      <w:proofErr w:type="gramEnd"/>
      <w:r>
        <w:rPr>
          <w:rStyle w:val="FootnoteReference"/>
          <w:b/>
          <w:sz w:val="36"/>
        </w:rPr>
        <w:footnoteReference w:id="1"/>
      </w:r>
    </w:p>
    <w:p w14:paraId="74BBF267" w14:textId="77777777" w:rsidR="00B501E3" w:rsidRPr="00186CCB" w:rsidRDefault="00B501E3" w:rsidP="00B501E3">
      <w:pPr>
        <w:spacing w:before="120"/>
        <w:rPr>
          <w:sz w:val="28"/>
        </w:rPr>
      </w:pPr>
      <w:r w:rsidRPr="00186CCB">
        <w:rPr>
          <w:sz w:val="28"/>
        </w:rPr>
        <w:t>Issuer:</w:t>
      </w:r>
    </w:p>
    <w:p w14:paraId="694F4324" w14:textId="77777777" w:rsidR="00B501E3" w:rsidRPr="00186CCB" w:rsidRDefault="00B501E3" w:rsidP="00B501E3">
      <w:pPr>
        <w:rPr>
          <w:sz w:val="28"/>
        </w:rPr>
      </w:pPr>
      <w:r w:rsidRPr="00186CCB">
        <w:rPr>
          <w:sz w:val="28"/>
        </w:rPr>
        <w:t>Certified Advisor:</w:t>
      </w:r>
    </w:p>
    <w:p w14:paraId="20CFA14F" w14:textId="77777777" w:rsidR="00B501E3" w:rsidRDefault="00B501E3" w:rsidP="00B501E3">
      <w:pPr>
        <w:rPr>
          <w:sz w:val="28"/>
        </w:rPr>
      </w:pPr>
      <w:r w:rsidRPr="00186CCB">
        <w:rPr>
          <w:sz w:val="28"/>
        </w:rPr>
        <w:t>Date:</w:t>
      </w:r>
    </w:p>
    <w:p w14:paraId="586C1662" w14:textId="77777777" w:rsidR="00B501E3" w:rsidRDefault="00B501E3" w:rsidP="00B501E3">
      <w:pPr>
        <w:rPr>
          <w:sz w:val="28"/>
        </w:rPr>
      </w:pPr>
    </w:p>
    <w:p w14:paraId="45A3A0C4" w14:textId="77777777" w:rsidR="00B501E3" w:rsidRPr="00F76D36" w:rsidRDefault="00B501E3" w:rsidP="00B501E3">
      <w:pPr>
        <w:rPr>
          <w:b/>
          <w:bCs/>
          <w:sz w:val="28"/>
        </w:rPr>
      </w:pPr>
      <w:r w:rsidRPr="00F76D36">
        <w:rPr>
          <w:b/>
          <w:bCs/>
          <w:sz w:val="28"/>
        </w:rPr>
        <w:t>Contents of the Company Description:</w:t>
      </w:r>
    </w:p>
    <w:tbl>
      <w:tblPr>
        <w:tblStyle w:val="TableGrid"/>
        <w:tblW w:w="0" w:type="auto"/>
        <w:tblLook w:val="04A0" w:firstRow="1" w:lastRow="0" w:firstColumn="1" w:lastColumn="0" w:noHBand="0" w:noVBand="1"/>
      </w:tblPr>
      <w:tblGrid>
        <w:gridCol w:w="1271"/>
        <w:gridCol w:w="6662"/>
        <w:gridCol w:w="1067"/>
      </w:tblGrid>
      <w:tr w:rsidR="00B501E3" w14:paraId="4550B3AC" w14:textId="77777777" w:rsidTr="000622E5">
        <w:tc>
          <w:tcPr>
            <w:tcW w:w="1271" w:type="dxa"/>
          </w:tcPr>
          <w:p w14:paraId="315B6003" w14:textId="77777777" w:rsidR="00B501E3" w:rsidRDefault="00B501E3" w:rsidP="000622E5">
            <w:pPr>
              <w:rPr>
                <w:sz w:val="28"/>
              </w:rPr>
            </w:pPr>
            <w:r>
              <w:rPr>
                <w:sz w:val="28"/>
              </w:rPr>
              <w:t>Rule</w:t>
            </w:r>
          </w:p>
        </w:tc>
        <w:tc>
          <w:tcPr>
            <w:tcW w:w="6662" w:type="dxa"/>
          </w:tcPr>
          <w:p w14:paraId="197F20A5" w14:textId="77777777" w:rsidR="00B501E3" w:rsidRDefault="00B501E3" w:rsidP="000622E5">
            <w:pPr>
              <w:rPr>
                <w:sz w:val="28"/>
              </w:rPr>
            </w:pPr>
            <w:r>
              <w:rPr>
                <w:sz w:val="28"/>
              </w:rPr>
              <w:t>Information</w:t>
            </w:r>
          </w:p>
        </w:tc>
        <w:tc>
          <w:tcPr>
            <w:tcW w:w="1067" w:type="dxa"/>
          </w:tcPr>
          <w:p w14:paraId="3D140D58" w14:textId="77777777" w:rsidR="00B501E3" w:rsidRDefault="00B501E3" w:rsidP="000622E5">
            <w:pPr>
              <w:rPr>
                <w:sz w:val="28"/>
              </w:rPr>
            </w:pPr>
            <w:r>
              <w:rPr>
                <w:sz w:val="28"/>
              </w:rPr>
              <w:t>Page(s)</w:t>
            </w:r>
          </w:p>
        </w:tc>
      </w:tr>
      <w:tr w:rsidR="00B501E3" w14:paraId="468EDB16" w14:textId="77777777" w:rsidTr="000622E5">
        <w:tc>
          <w:tcPr>
            <w:tcW w:w="1271" w:type="dxa"/>
          </w:tcPr>
          <w:p w14:paraId="4409AAFF" w14:textId="77777777" w:rsidR="00B501E3" w:rsidRPr="00F76D36" w:rsidRDefault="00B501E3" w:rsidP="000622E5">
            <w:r w:rsidRPr="00F76D36">
              <w:t>3.2 (a)(</w:t>
            </w:r>
            <w:proofErr w:type="spellStart"/>
            <w:r w:rsidRPr="00F76D36">
              <w:t>i</w:t>
            </w:r>
            <w:proofErr w:type="spellEnd"/>
            <w:r w:rsidRPr="00F76D36">
              <w:t>)</w:t>
            </w:r>
          </w:p>
        </w:tc>
        <w:tc>
          <w:tcPr>
            <w:tcW w:w="6662" w:type="dxa"/>
          </w:tcPr>
          <w:p w14:paraId="41F1C67D" w14:textId="77777777" w:rsidR="00B501E3" w:rsidRDefault="00B501E3" w:rsidP="000622E5">
            <w:pPr>
              <w:rPr>
                <w:sz w:val="28"/>
              </w:rPr>
            </w:pPr>
            <w:r>
              <w:t>a description of the Issuer (A), including business model (B), organization, competitive situation (C), most significant markets (D), most significant risk factors (E) and the reasons for the decision to apply for admission to trading (F);</w:t>
            </w:r>
          </w:p>
        </w:tc>
        <w:tc>
          <w:tcPr>
            <w:tcW w:w="1067" w:type="dxa"/>
          </w:tcPr>
          <w:p w14:paraId="735878AE" w14:textId="77777777" w:rsidR="00B501E3" w:rsidRDefault="00B501E3" w:rsidP="000622E5">
            <w:pPr>
              <w:rPr>
                <w:szCs w:val="22"/>
              </w:rPr>
            </w:pPr>
            <w:r>
              <w:rPr>
                <w:szCs w:val="22"/>
              </w:rPr>
              <w:t>A:</w:t>
            </w:r>
          </w:p>
          <w:p w14:paraId="241AB229" w14:textId="77777777" w:rsidR="00B501E3" w:rsidRDefault="00B501E3" w:rsidP="000622E5">
            <w:pPr>
              <w:rPr>
                <w:szCs w:val="22"/>
              </w:rPr>
            </w:pPr>
            <w:r>
              <w:rPr>
                <w:szCs w:val="22"/>
              </w:rPr>
              <w:t>B:</w:t>
            </w:r>
          </w:p>
          <w:p w14:paraId="2F31879E" w14:textId="77777777" w:rsidR="00B501E3" w:rsidRDefault="00B501E3" w:rsidP="000622E5">
            <w:pPr>
              <w:rPr>
                <w:szCs w:val="22"/>
              </w:rPr>
            </w:pPr>
            <w:r>
              <w:rPr>
                <w:szCs w:val="22"/>
              </w:rPr>
              <w:t>C:</w:t>
            </w:r>
          </w:p>
          <w:p w14:paraId="1A2C7F22" w14:textId="77777777" w:rsidR="00B501E3" w:rsidRDefault="00B501E3" w:rsidP="000622E5">
            <w:pPr>
              <w:rPr>
                <w:szCs w:val="22"/>
              </w:rPr>
            </w:pPr>
            <w:r>
              <w:rPr>
                <w:szCs w:val="22"/>
              </w:rPr>
              <w:t>D:</w:t>
            </w:r>
          </w:p>
          <w:p w14:paraId="381600D0" w14:textId="77777777" w:rsidR="00B501E3" w:rsidRDefault="00B501E3" w:rsidP="000622E5">
            <w:pPr>
              <w:rPr>
                <w:szCs w:val="22"/>
              </w:rPr>
            </w:pPr>
            <w:r>
              <w:rPr>
                <w:szCs w:val="22"/>
              </w:rPr>
              <w:t>E:</w:t>
            </w:r>
          </w:p>
          <w:p w14:paraId="3F29EDA6" w14:textId="77777777" w:rsidR="00B501E3" w:rsidRPr="00C435D2" w:rsidRDefault="00B501E3" w:rsidP="000622E5">
            <w:pPr>
              <w:rPr>
                <w:szCs w:val="22"/>
              </w:rPr>
            </w:pPr>
            <w:r>
              <w:rPr>
                <w:szCs w:val="22"/>
              </w:rPr>
              <w:t>F:</w:t>
            </w:r>
          </w:p>
        </w:tc>
      </w:tr>
      <w:tr w:rsidR="00B501E3" w14:paraId="6368B861" w14:textId="77777777" w:rsidTr="000622E5">
        <w:tc>
          <w:tcPr>
            <w:tcW w:w="1271" w:type="dxa"/>
          </w:tcPr>
          <w:p w14:paraId="7177B667" w14:textId="77777777" w:rsidR="00B501E3" w:rsidRPr="00F76D36" w:rsidRDefault="00B501E3" w:rsidP="000622E5">
            <w:r w:rsidRPr="00F76D36">
              <w:t>3.2 (a)(ii)</w:t>
            </w:r>
          </w:p>
        </w:tc>
        <w:tc>
          <w:tcPr>
            <w:tcW w:w="6662" w:type="dxa"/>
          </w:tcPr>
          <w:p w14:paraId="189D7E56" w14:textId="77777777" w:rsidR="00B501E3" w:rsidRDefault="00B501E3" w:rsidP="000622E5">
            <w:pPr>
              <w:rPr>
                <w:sz w:val="28"/>
              </w:rPr>
            </w:pPr>
            <w:r>
              <w:t>the Issuer’s audited annual reports or financial statements for the last two years (A), as applicable, as well as the general financial trend over the last two years (B);</w:t>
            </w:r>
          </w:p>
        </w:tc>
        <w:tc>
          <w:tcPr>
            <w:tcW w:w="1067" w:type="dxa"/>
          </w:tcPr>
          <w:p w14:paraId="6D0478E3" w14:textId="77777777" w:rsidR="00B501E3" w:rsidRDefault="00B501E3" w:rsidP="000622E5">
            <w:pPr>
              <w:rPr>
                <w:szCs w:val="22"/>
              </w:rPr>
            </w:pPr>
            <w:r>
              <w:rPr>
                <w:szCs w:val="22"/>
              </w:rPr>
              <w:t>A:</w:t>
            </w:r>
          </w:p>
          <w:p w14:paraId="5F9E9FE3" w14:textId="77777777" w:rsidR="00B501E3" w:rsidRPr="00C435D2" w:rsidRDefault="00B501E3" w:rsidP="000622E5">
            <w:pPr>
              <w:rPr>
                <w:szCs w:val="22"/>
              </w:rPr>
            </w:pPr>
            <w:r>
              <w:rPr>
                <w:szCs w:val="22"/>
              </w:rPr>
              <w:t>B:</w:t>
            </w:r>
          </w:p>
        </w:tc>
      </w:tr>
      <w:tr w:rsidR="00B501E3" w14:paraId="47BB1166" w14:textId="77777777" w:rsidTr="000622E5">
        <w:tc>
          <w:tcPr>
            <w:tcW w:w="1271" w:type="dxa"/>
          </w:tcPr>
          <w:p w14:paraId="4376572D" w14:textId="77777777" w:rsidR="00B501E3" w:rsidRPr="00F76D36" w:rsidRDefault="00B501E3" w:rsidP="000622E5">
            <w:r w:rsidRPr="00F76D36">
              <w:t>3.2 (a)(iii)</w:t>
            </w:r>
          </w:p>
        </w:tc>
        <w:tc>
          <w:tcPr>
            <w:tcW w:w="6662" w:type="dxa"/>
          </w:tcPr>
          <w:p w14:paraId="2DFB2F71" w14:textId="77777777" w:rsidR="00B501E3" w:rsidRDefault="00B501E3" w:rsidP="000622E5">
            <w:r>
              <w:t>the Issuer’s most recent financial report (A). If the Company Description is dated more than nine months after the end of the last audited financial year, it shall contain interim financial information covering at least the first six months of the financial year (B). The financial information shall include comparative statements for the same period in the prior financial year, as applicable;</w:t>
            </w:r>
          </w:p>
        </w:tc>
        <w:tc>
          <w:tcPr>
            <w:tcW w:w="1067" w:type="dxa"/>
          </w:tcPr>
          <w:p w14:paraId="1857D094" w14:textId="77777777" w:rsidR="00B501E3" w:rsidRDefault="00B501E3" w:rsidP="000622E5">
            <w:pPr>
              <w:rPr>
                <w:szCs w:val="22"/>
              </w:rPr>
            </w:pPr>
            <w:r>
              <w:rPr>
                <w:szCs w:val="22"/>
              </w:rPr>
              <w:t>A:</w:t>
            </w:r>
          </w:p>
          <w:p w14:paraId="7BE97F06" w14:textId="77777777" w:rsidR="00B501E3" w:rsidRPr="00C435D2" w:rsidRDefault="00B501E3" w:rsidP="000622E5">
            <w:pPr>
              <w:rPr>
                <w:szCs w:val="22"/>
              </w:rPr>
            </w:pPr>
            <w:r>
              <w:rPr>
                <w:szCs w:val="22"/>
              </w:rPr>
              <w:t>B:</w:t>
            </w:r>
          </w:p>
        </w:tc>
      </w:tr>
      <w:tr w:rsidR="00B501E3" w14:paraId="0F901665" w14:textId="77777777" w:rsidTr="000622E5">
        <w:tc>
          <w:tcPr>
            <w:tcW w:w="1271" w:type="dxa"/>
          </w:tcPr>
          <w:p w14:paraId="6E975895" w14:textId="77777777" w:rsidR="00B501E3" w:rsidRPr="00F76D36" w:rsidRDefault="00B501E3" w:rsidP="000622E5">
            <w:r w:rsidRPr="00F76D36">
              <w:t>3.2 (a)(vi)</w:t>
            </w:r>
          </w:p>
        </w:tc>
        <w:tc>
          <w:tcPr>
            <w:tcW w:w="6662" w:type="dxa"/>
          </w:tcPr>
          <w:p w14:paraId="3F2E46DD" w14:textId="77777777" w:rsidR="00B501E3" w:rsidRDefault="00B501E3" w:rsidP="000622E5">
            <w:proofErr w:type="gramStart"/>
            <w:r>
              <w:t>future prospects</w:t>
            </w:r>
            <w:proofErr w:type="gramEnd"/>
            <w:r>
              <w:t xml:space="preserve"> of the Issuer (A) and comments on the financial development regarding the period covered by the financial history (B). If there are material changes between the periods for individual financial items, this shall be explained;</w:t>
            </w:r>
          </w:p>
        </w:tc>
        <w:tc>
          <w:tcPr>
            <w:tcW w:w="1067" w:type="dxa"/>
          </w:tcPr>
          <w:p w14:paraId="6D615424" w14:textId="77777777" w:rsidR="00B501E3" w:rsidRDefault="00B501E3" w:rsidP="000622E5">
            <w:pPr>
              <w:rPr>
                <w:szCs w:val="22"/>
              </w:rPr>
            </w:pPr>
            <w:r>
              <w:rPr>
                <w:szCs w:val="22"/>
              </w:rPr>
              <w:t>A:</w:t>
            </w:r>
          </w:p>
          <w:p w14:paraId="49E5CA56" w14:textId="77777777" w:rsidR="00B501E3" w:rsidRPr="00C435D2" w:rsidRDefault="00B501E3" w:rsidP="000622E5">
            <w:pPr>
              <w:rPr>
                <w:szCs w:val="22"/>
              </w:rPr>
            </w:pPr>
            <w:r>
              <w:rPr>
                <w:szCs w:val="22"/>
              </w:rPr>
              <w:t>B:</w:t>
            </w:r>
          </w:p>
        </w:tc>
      </w:tr>
      <w:tr w:rsidR="00B501E3" w14:paraId="35BD8B0A" w14:textId="77777777" w:rsidTr="000622E5">
        <w:tc>
          <w:tcPr>
            <w:tcW w:w="1271" w:type="dxa"/>
          </w:tcPr>
          <w:p w14:paraId="25B7C94E" w14:textId="77777777" w:rsidR="00B501E3" w:rsidRPr="00F76D36" w:rsidRDefault="00B501E3" w:rsidP="000622E5">
            <w:r w:rsidRPr="00F76D36">
              <w:t>3.2 (a)(v)</w:t>
            </w:r>
          </w:p>
        </w:tc>
        <w:tc>
          <w:tcPr>
            <w:tcW w:w="6662" w:type="dxa"/>
          </w:tcPr>
          <w:p w14:paraId="16B27A0C" w14:textId="77777777" w:rsidR="00B501E3" w:rsidRDefault="00B501E3" w:rsidP="000622E5">
            <w:r>
              <w:t xml:space="preserve">a statement of </w:t>
            </w:r>
            <w:proofErr w:type="spellStart"/>
            <w:r>
              <w:t>capitalisation</w:t>
            </w:r>
            <w:proofErr w:type="spellEnd"/>
            <w:r>
              <w:t xml:space="preserve"> and indebtedness as of a date no earlier than 90 days prior to the date of the Company Description (A);</w:t>
            </w:r>
          </w:p>
        </w:tc>
        <w:tc>
          <w:tcPr>
            <w:tcW w:w="1067" w:type="dxa"/>
          </w:tcPr>
          <w:p w14:paraId="5800E77D" w14:textId="77777777" w:rsidR="00B501E3" w:rsidRPr="00C435D2" w:rsidRDefault="00B501E3" w:rsidP="000622E5">
            <w:pPr>
              <w:rPr>
                <w:szCs w:val="22"/>
              </w:rPr>
            </w:pPr>
          </w:p>
        </w:tc>
      </w:tr>
      <w:tr w:rsidR="00B501E3" w14:paraId="211CE816" w14:textId="77777777" w:rsidTr="000622E5">
        <w:tc>
          <w:tcPr>
            <w:tcW w:w="1271" w:type="dxa"/>
          </w:tcPr>
          <w:p w14:paraId="438BD64D" w14:textId="77777777" w:rsidR="00B501E3" w:rsidRPr="00F76D36" w:rsidRDefault="00B501E3" w:rsidP="000622E5">
            <w:r w:rsidRPr="00F76D36">
              <w:t>3.2 (a)(vi)</w:t>
            </w:r>
          </w:p>
        </w:tc>
        <w:tc>
          <w:tcPr>
            <w:tcW w:w="6662" w:type="dxa"/>
          </w:tcPr>
          <w:p w14:paraId="66A90F61" w14:textId="77777777" w:rsidR="00B501E3" w:rsidRDefault="00B501E3" w:rsidP="000622E5">
            <w:r>
              <w:t xml:space="preserve">pro forma financial </w:t>
            </w:r>
            <w:proofErr w:type="gramStart"/>
            <w:r>
              <w:t>information, if</w:t>
            </w:r>
            <w:proofErr w:type="gramEnd"/>
            <w:r>
              <w:t xml:space="preserve"> it would be required under the Prospectus Regulation. The pro forma financial information shall be accompanied by a report prepared by independent accountants or auditors;</w:t>
            </w:r>
          </w:p>
        </w:tc>
        <w:tc>
          <w:tcPr>
            <w:tcW w:w="1067" w:type="dxa"/>
          </w:tcPr>
          <w:p w14:paraId="7EBFDA0C" w14:textId="77777777" w:rsidR="00B501E3" w:rsidRPr="00C435D2" w:rsidRDefault="00B501E3" w:rsidP="000622E5">
            <w:pPr>
              <w:rPr>
                <w:szCs w:val="22"/>
              </w:rPr>
            </w:pPr>
          </w:p>
        </w:tc>
      </w:tr>
      <w:tr w:rsidR="00B501E3" w14:paraId="2C41BF82" w14:textId="77777777" w:rsidTr="000622E5">
        <w:tc>
          <w:tcPr>
            <w:tcW w:w="1271" w:type="dxa"/>
          </w:tcPr>
          <w:p w14:paraId="6D0052DB" w14:textId="77777777" w:rsidR="00B501E3" w:rsidRPr="00F76D36" w:rsidRDefault="00B501E3" w:rsidP="000622E5">
            <w:r w:rsidRPr="00F76D36">
              <w:t>3.2 (a)(vii)</w:t>
            </w:r>
          </w:p>
        </w:tc>
        <w:tc>
          <w:tcPr>
            <w:tcW w:w="6662" w:type="dxa"/>
          </w:tcPr>
          <w:p w14:paraId="4077849C" w14:textId="77777777" w:rsidR="00B501E3" w:rsidRDefault="00B501E3" w:rsidP="000622E5">
            <w:r>
              <w:t>information whether the historical financial information has been audited or not;</w:t>
            </w:r>
          </w:p>
        </w:tc>
        <w:tc>
          <w:tcPr>
            <w:tcW w:w="1067" w:type="dxa"/>
          </w:tcPr>
          <w:p w14:paraId="442721A0" w14:textId="77777777" w:rsidR="00B501E3" w:rsidRPr="00C435D2" w:rsidRDefault="00B501E3" w:rsidP="000622E5">
            <w:pPr>
              <w:rPr>
                <w:szCs w:val="22"/>
              </w:rPr>
            </w:pPr>
          </w:p>
        </w:tc>
      </w:tr>
      <w:tr w:rsidR="00B501E3" w14:paraId="609DDB3C" w14:textId="77777777" w:rsidTr="000622E5">
        <w:tc>
          <w:tcPr>
            <w:tcW w:w="1271" w:type="dxa"/>
          </w:tcPr>
          <w:p w14:paraId="715CA388" w14:textId="77777777" w:rsidR="00B501E3" w:rsidRPr="00F76D36" w:rsidRDefault="00B501E3" w:rsidP="000622E5">
            <w:r w:rsidRPr="00F76D36">
              <w:t>3.2 (a)(viii)</w:t>
            </w:r>
          </w:p>
        </w:tc>
        <w:tc>
          <w:tcPr>
            <w:tcW w:w="6662" w:type="dxa"/>
          </w:tcPr>
          <w:p w14:paraId="09FA9949" w14:textId="77777777" w:rsidR="00B501E3" w:rsidRDefault="00B501E3" w:rsidP="000622E5">
            <w:r>
              <w:t>a description of the Board of Directors and the management of the Issuer (A), including information regarding the Board of Directors’ independence in relation to the Issuer (B), its management (C) and the Issuer’s major shareholders (D);</w:t>
            </w:r>
          </w:p>
        </w:tc>
        <w:tc>
          <w:tcPr>
            <w:tcW w:w="1067" w:type="dxa"/>
          </w:tcPr>
          <w:p w14:paraId="6DD7492D" w14:textId="77777777" w:rsidR="00B501E3" w:rsidRDefault="00B501E3" w:rsidP="000622E5">
            <w:pPr>
              <w:rPr>
                <w:szCs w:val="22"/>
              </w:rPr>
            </w:pPr>
            <w:r>
              <w:rPr>
                <w:szCs w:val="22"/>
              </w:rPr>
              <w:t>A:</w:t>
            </w:r>
          </w:p>
          <w:p w14:paraId="771F445F" w14:textId="77777777" w:rsidR="00B501E3" w:rsidRDefault="00B501E3" w:rsidP="000622E5">
            <w:pPr>
              <w:rPr>
                <w:szCs w:val="22"/>
              </w:rPr>
            </w:pPr>
            <w:r>
              <w:rPr>
                <w:szCs w:val="22"/>
              </w:rPr>
              <w:t>B:</w:t>
            </w:r>
          </w:p>
          <w:p w14:paraId="058EE8A0" w14:textId="77777777" w:rsidR="00B501E3" w:rsidRDefault="00B501E3" w:rsidP="000622E5">
            <w:pPr>
              <w:rPr>
                <w:szCs w:val="22"/>
              </w:rPr>
            </w:pPr>
            <w:r>
              <w:rPr>
                <w:szCs w:val="22"/>
              </w:rPr>
              <w:t>C:</w:t>
            </w:r>
          </w:p>
          <w:p w14:paraId="567EFC32" w14:textId="77777777" w:rsidR="00B501E3" w:rsidRPr="00C435D2" w:rsidRDefault="00B501E3" w:rsidP="000622E5">
            <w:pPr>
              <w:rPr>
                <w:szCs w:val="22"/>
              </w:rPr>
            </w:pPr>
            <w:r>
              <w:rPr>
                <w:szCs w:val="22"/>
              </w:rPr>
              <w:t>D:</w:t>
            </w:r>
          </w:p>
        </w:tc>
      </w:tr>
      <w:tr w:rsidR="00B501E3" w14:paraId="05541074" w14:textId="77777777" w:rsidTr="000622E5">
        <w:tc>
          <w:tcPr>
            <w:tcW w:w="1271" w:type="dxa"/>
          </w:tcPr>
          <w:p w14:paraId="22F07B2B" w14:textId="77777777" w:rsidR="00B501E3" w:rsidRPr="00F76D36" w:rsidRDefault="00B501E3" w:rsidP="000622E5">
            <w:r w:rsidRPr="00F76D36">
              <w:t>3.2 (a)(ix)</w:t>
            </w:r>
          </w:p>
        </w:tc>
        <w:tc>
          <w:tcPr>
            <w:tcW w:w="6662" w:type="dxa"/>
          </w:tcPr>
          <w:p w14:paraId="7EB1E973" w14:textId="77777777" w:rsidR="00B501E3" w:rsidRDefault="00B501E3" w:rsidP="000622E5">
            <w:r>
              <w:t>all information about historical (A), or on-going (B), bankruptcy (C), liquidation or similar procedure (D) and also fraud or other financial crime related convictions (E) or on-going procedures in which any person in the management and/or Board of Directors has been involved (F). The information shall cover at least the five preceding years;</w:t>
            </w:r>
          </w:p>
        </w:tc>
        <w:tc>
          <w:tcPr>
            <w:tcW w:w="1067" w:type="dxa"/>
          </w:tcPr>
          <w:p w14:paraId="0A55CFE6" w14:textId="77777777" w:rsidR="00B501E3" w:rsidRDefault="00B501E3" w:rsidP="000622E5">
            <w:pPr>
              <w:rPr>
                <w:szCs w:val="22"/>
              </w:rPr>
            </w:pPr>
            <w:r>
              <w:rPr>
                <w:szCs w:val="22"/>
              </w:rPr>
              <w:t>A:</w:t>
            </w:r>
          </w:p>
          <w:p w14:paraId="19156C6B" w14:textId="77777777" w:rsidR="00B501E3" w:rsidRDefault="00B501E3" w:rsidP="000622E5">
            <w:pPr>
              <w:rPr>
                <w:szCs w:val="22"/>
              </w:rPr>
            </w:pPr>
            <w:r>
              <w:rPr>
                <w:szCs w:val="22"/>
              </w:rPr>
              <w:t>B:</w:t>
            </w:r>
          </w:p>
          <w:p w14:paraId="65ED11BF" w14:textId="77777777" w:rsidR="00B501E3" w:rsidRDefault="00B501E3" w:rsidP="000622E5">
            <w:pPr>
              <w:rPr>
                <w:szCs w:val="22"/>
              </w:rPr>
            </w:pPr>
            <w:r>
              <w:rPr>
                <w:szCs w:val="22"/>
              </w:rPr>
              <w:t>C:</w:t>
            </w:r>
          </w:p>
          <w:p w14:paraId="52CEB429" w14:textId="77777777" w:rsidR="00B501E3" w:rsidRDefault="00B501E3" w:rsidP="000622E5">
            <w:pPr>
              <w:rPr>
                <w:szCs w:val="22"/>
              </w:rPr>
            </w:pPr>
            <w:r>
              <w:rPr>
                <w:szCs w:val="22"/>
              </w:rPr>
              <w:t>D:</w:t>
            </w:r>
          </w:p>
          <w:p w14:paraId="5EE278B0" w14:textId="77777777" w:rsidR="00B501E3" w:rsidRDefault="00B501E3" w:rsidP="000622E5">
            <w:pPr>
              <w:rPr>
                <w:szCs w:val="22"/>
              </w:rPr>
            </w:pPr>
            <w:r>
              <w:rPr>
                <w:szCs w:val="22"/>
              </w:rPr>
              <w:t>E:</w:t>
            </w:r>
          </w:p>
          <w:p w14:paraId="313CD214" w14:textId="77777777" w:rsidR="00B501E3" w:rsidRPr="00C435D2" w:rsidRDefault="00B501E3" w:rsidP="000622E5">
            <w:pPr>
              <w:rPr>
                <w:szCs w:val="22"/>
              </w:rPr>
            </w:pPr>
            <w:r>
              <w:rPr>
                <w:szCs w:val="22"/>
              </w:rPr>
              <w:lastRenderedPageBreak/>
              <w:t>F:</w:t>
            </w:r>
          </w:p>
        </w:tc>
      </w:tr>
      <w:tr w:rsidR="00B501E3" w14:paraId="61EB354C" w14:textId="77777777" w:rsidTr="000622E5">
        <w:tc>
          <w:tcPr>
            <w:tcW w:w="1271" w:type="dxa"/>
          </w:tcPr>
          <w:p w14:paraId="0507D4B0" w14:textId="77777777" w:rsidR="00B501E3" w:rsidRPr="00F76D36" w:rsidRDefault="00B501E3" w:rsidP="000622E5">
            <w:r w:rsidRPr="00F76D36">
              <w:lastRenderedPageBreak/>
              <w:t>3.2 (a)(x)</w:t>
            </w:r>
          </w:p>
        </w:tc>
        <w:tc>
          <w:tcPr>
            <w:tcW w:w="6662" w:type="dxa"/>
          </w:tcPr>
          <w:p w14:paraId="18770D4D" w14:textId="77777777" w:rsidR="00B501E3" w:rsidRDefault="00B501E3" w:rsidP="000622E5">
            <w:r>
              <w:t>a description of significant contracts (A), intellectual property rights (B), etc.;</w:t>
            </w:r>
          </w:p>
        </w:tc>
        <w:tc>
          <w:tcPr>
            <w:tcW w:w="1067" w:type="dxa"/>
          </w:tcPr>
          <w:p w14:paraId="2A4600A4" w14:textId="77777777" w:rsidR="00B501E3" w:rsidRDefault="00B501E3" w:rsidP="000622E5">
            <w:pPr>
              <w:rPr>
                <w:szCs w:val="22"/>
              </w:rPr>
            </w:pPr>
            <w:r>
              <w:rPr>
                <w:szCs w:val="22"/>
              </w:rPr>
              <w:t>A:</w:t>
            </w:r>
          </w:p>
          <w:p w14:paraId="5A9359DC" w14:textId="77777777" w:rsidR="00B501E3" w:rsidRPr="00C435D2" w:rsidRDefault="00B501E3" w:rsidP="000622E5">
            <w:pPr>
              <w:rPr>
                <w:szCs w:val="22"/>
              </w:rPr>
            </w:pPr>
            <w:r>
              <w:rPr>
                <w:szCs w:val="22"/>
              </w:rPr>
              <w:t>B:</w:t>
            </w:r>
          </w:p>
        </w:tc>
      </w:tr>
      <w:tr w:rsidR="00B501E3" w14:paraId="6D8EBF61" w14:textId="77777777" w:rsidTr="000622E5">
        <w:tc>
          <w:tcPr>
            <w:tcW w:w="1271" w:type="dxa"/>
          </w:tcPr>
          <w:p w14:paraId="17687F6D" w14:textId="77777777" w:rsidR="00B501E3" w:rsidRPr="00F76D36" w:rsidRDefault="00B501E3" w:rsidP="000622E5">
            <w:r w:rsidRPr="00F76D36">
              <w:t>3.2 (a)(xi)</w:t>
            </w:r>
          </w:p>
        </w:tc>
        <w:tc>
          <w:tcPr>
            <w:tcW w:w="6662" w:type="dxa"/>
          </w:tcPr>
          <w:p w14:paraId="1EED31C5" w14:textId="77777777" w:rsidR="00B501E3" w:rsidRDefault="00B501E3" w:rsidP="000622E5">
            <w:r>
              <w:t>a description of the ownership structure (A), including any shareholdings in the Issuer held by the Board of Directors (B), senior management (C) and Certified Adviser (D);</w:t>
            </w:r>
          </w:p>
        </w:tc>
        <w:tc>
          <w:tcPr>
            <w:tcW w:w="1067" w:type="dxa"/>
          </w:tcPr>
          <w:p w14:paraId="0C9B1CC0" w14:textId="77777777" w:rsidR="00B501E3" w:rsidRDefault="00B501E3" w:rsidP="000622E5">
            <w:pPr>
              <w:rPr>
                <w:szCs w:val="22"/>
              </w:rPr>
            </w:pPr>
            <w:r>
              <w:rPr>
                <w:szCs w:val="22"/>
              </w:rPr>
              <w:t>A:</w:t>
            </w:r>
          </w:p>
          <w:p w14:paraId="35AA9E7C" w14:textId="77777777" w:rsidR="00B501E3" w:rsidRPr="00C435D2" w:rsidRDefault="00B501E3" w:rsidP="000622E5">
            <w:pPr>
              <w:rPr>
                <w:szCs w:val="22"/>
              </w:rPr>
            </w:pPr>
            <w:r>
              <w:rPr>
                <w:szCs w:val="22"/>
              </w:rPr>
              <w:t>B:</w:t>
            </w:r>
          </w:p>
        </w:tc>
      </w:tr>
      <w:tr w:rsidR="00B501E3" w14:paraId="5F6C6829" w14:textId="77777777" w:rsidTr="000622E5">
        <w:tc>
          <w:tcPr>
            <w:tcW w:w="1271" w:type="dxa"/>
          </w:tcPr>
          <w:p w14:paraId="1850DF42" w14:textId="77777777" w:rsidR="00B501E3" w:rsidRPr="00F76D36" w:rsidRDefault="00B501E3" w:rsidP="000622E5">
            <w:r w:rsidRPr="00F76D36">
              <w:t>3.2 (a)(xii)</w:t>
            </w:r>
          </w:p>
        </w:tc>
        <w:tc>
          <w:tcPr>
            <w:tcW w:w="6662" w:type="dxa"/>
          </w:tcPr>
          <w:p w14:paraId="7191938E" w14:textId="77777777" w:rsidR="00B501E3" w:rsidRDefault="00B501E3" w:rsidP="000622E5">
            <w:r>
              <w:t>a description of any share-based incentive programs;</w:t>
            </w:r>
          </w:p>
        </w:tc>
        <w:tc>
          <w:tcPr>
            <w:tcW w:w="1067" w:type="dxa"/>
          </w:tcPr>
          <w:p w14:paraId="78D6B1B5" w14:textId="77777777" w:rsidR="00B501E3" w:rsidRPr="00C435D2" w:rsidRDefault="00B501E3" w:rsidP="000622E5">
            <w:pPr>
              <w:rPr>
                <w:szCs w:val="22"/>
              </w:rPr>
            </w:pPr>
          </w:p>
        </w:tc>
      </w:tr>
      <w:tr w:rsidR="00B501E3" w14:paraId="054C804D" w14:textId="77777777" w:rsidTr="000622E5">
        <w:tc>
          <w:tcPr>
            <w:tcW w:w="1271" w:type="dxa"/>
          </w:tcPr>
          <w:p w14:paraId="5CE4CD07" w14:textId="77777777" w:rsidR="00B501E3" w:rsidRPr="00F76D36" w:rsidRDefault="00B501E3" w:rsidP="000622E5">
            <w:r w:rsidRPr="00F76D36">
              <w:t>3.2 (a)(xiii)</w:t>
            </w:r>
          </w:p>
        </w:tc>
        <w:tc>
          <w:tcPr>
            <w:tcW w:w="6662" w:type="dxa"/>
          </w:tcPr>
          <w:p w14:paraId="509A611B" w14:textId="77777777" w:rsidR="00B501E3" w:rsidRDefault="00B501E3" w:rsidP="000622E5">
            <w:r>
              <w:t>a description of historical (A), ongoing and planned issues of financial instruments (B), including material terms and conditions (C). If applicable, the description shall include relevant information about the offer period (D), any possibility to withdraw the offer or early close of the offer (E), the size and the price of the offer (F) and the use of proceed (G). The historical information shall cover at least the two preceding years;</w:t>
            </w:r>
          </w:p>
        </w:tc>
        <w:tc>
          <w:tcPr>
            <w:tcW w:w="1067" w:type="dxa"/>
          </w:tcPr>
          <w:p w14:paraId="4D8C214C" w14:textId="77777777" w:rsidR="00B501E3" w:rsidRDefault="00B501E3" w:rsidP="000622E5">
            <w:pPr>
              <w:rPr>
                <w:szCs w:val="22"/>
              </w:rPr>
            </w:pPr>
            <w:r>
              <w:rPr>
                <w:szCs w:val="22"/>
              </w:rPr>
              <w:t>A:</w:t>
            </w:r>
          </w:p>
          <w:p w14:paraId="13E64E4F" w14:textId="77777777" w:rsidR="00B501E3" w:rsidRDefault="00B501E3" w:rsidP="000622E5">
            <w:pPr>
              <w:rPr>
                <w:szCs w:val="22"/>
              </w:rPr>
            </w:pPr>
            <w:r>
              <w:rPr>
                <w:szCs w:val="22"/>
              </w:rPr>
              <w:t>B:</w:t>
            </w:r>
          </w:p>
          <w:p w14:paraId="0556DD2F" w14:textId="77777777" w:rsidR="00B501E3" w:rsidRDefault="00B501E3" w:rsidP="000622E5">
            <w:pPr>
              <w:rPr>
                <w:szCs w:val="22"/>
              </w:rPr>
            </w:pPr>
            <w:r>
              <w:rPr>
                <w:szCs w:val="22"/>
              </w:rPr>
              <w:t>C:</w:t>
            </w:r>
          </w:p>
          <w:p w14:paraId="706FF531" w14:textId="77777777" w:rsidR="00B501E3" w:rsidRDefault="00B501E3" w:rsidP="000622E5">
            <w:pPr>
              <w:rPr>
                <w:szCs w:val="22"/>
              </w:rPr>
            </w:pPr>
            <w:r>
              <w:rPr>
                <w:szCs w:val="22"/>
              </w:rPr>
              <w:t>D:</w:t>
            </w:r>
          </w:p>
          <w:p w14:paraId="121E3D95" w14:textId="77777777" w:rsidR="00B501E3" w:rsidRDefault="00B501E3" w:rsidP="000622E5">
            <w:pPr>
              <w:rPr>
                <w:szCs w:val="22"/>
              </w:rPr>
            </w:pPr>
            <w:r>
              <w:rPr>
                <w:szCs w:val="22"/>
              </w:rPr>
              <w:t>E:</w:t>
            </w:r>
          </w:p>
          <w:p w14:paraId="2D2D3C72" w14:textId="77777777" w:rsidR="00B501E3" w:rsidRDefault="00B501E3" w:rsidP="000622E5">
            <w:pPr>
              <w:rPr>
                <w:szCs w:val="22"/>
              </w:rPr>
            </w:pPr>
            <w:r>
              <w:rPr>
                <w:szCs w:val="22"/>
              </w:rPr>
              <w:t>F:</w:t>
            </w:r>
          </w:p>
          <w:p w14:paraId="3B74A78C" w14:textId="77777777" w:rsidR="00B501E3" w:rsidRPr="00C435D2" w:rsidRDefault="00B501E3" w:rsidP="000622E5">
            <w:pPr>
              <w:rPr>
                <w:szCs w:val="22"/>
              </w:rPr>
            </w:pPr>
            <w:r>
              <w:rPr>
                <w:szCs w:val="22"/>
              </w:rPr>
              <w:t>G:</w:t>
            </w:r>
          </w:p>
        </w:tc>
      </w:tr>
      <w:tr w:rsidR="00B501E3" w14:paraId="50480608" w14:textId="77777777" w:rsidTr="000622E5">
        <w:tc>
          <w:tcPr>
            <w:tcW w:w="1271" w:type="dxa"/>
          </w:tcPr>
          <w:p w14:paraId="62E2C6AA" w14:textId="77777777" w:rsidR="00B501E3" w:rsidRPr="00F76D36" w:rsidRDefault="00B501E3" w:rsidP="000622E5">
            <w:r w:rsidRPr="00F76D36">
              <w:t>3.2 (a)(xiv)</w:t>
            </w:r>
          </w:p>
        </w:tc>
        <w:tc>
          <w:tcPr>
            <w:tcW w:w="6662" w:type="dxa"/>
          </w:tcPr>
          <w:p w14:paraId="30EC468B" w14:textId="77777777" w:rsidR="00B501E3" w:rsidRDefault="00B501E3" w:rsidP="000622E5">
            <w:r>
              <w:t>a description of any transactions with persons discharging managerial responsibilities in the Issuer (A), Board members (B), affiliates to such persons (C), major owners (D) or another company within the same group as the Issuer (E), including material terms and conditions of such transactions. The information shall cover at least the same period as the historical financial information;</w:t>
            </w:r>
          </w:p>
        </w:tc>
        <w:tc>
          <w:tcPr>
            <w:tcW w:w="1067" w:type="dxa"/>
          </w:tcPr>
          <w:p w14:paraId="735B13B7" w14:textId="77777777" w:rsidR="00B501E3" w:rsidRDefault="00B501E3" w:rsidP="000622E5">
            <w:pPr>
              <w:rPr>
                <w:szCs w:val="22"/>
              </w:rPr>
            </w:pPr>
            <w:r>
              <w:rPr>
                <w:szCs w:val="22"/>
              </w:rPr>
              <w:t>A:</w:t>
            </w:r>
          </w:p>
          <w:p w14:paraId="08104FCA" w14:textId="77777777" w:rsidR="00B501E3" w:rsidRDefault="00B501E3" w:rsidP="000622E5">
            <w:pPr>
              <w:rPr>
                <w:szCs w:val="22"/>
              </w:rPr>
            </w:pPr>
            <w:r>
              <w:rPr>
                <w:szCs w:val="22"/>
              </w:rPr>
              <w:t>B:</w:t>
            </w:r>
          </w:p>
          <w:p w14:paraId="74D1B90B" w14:textId="77777777" w:rsidR="00B501E3" w:rsidRDefault="00B501E3" w:rsidP="000622E5">
            <w:pPr>
              <w:rPr>
                <w:szCs w:val="22"/>
              </w:rPr>
            </w:pPr>
            <w:r>
              <w:rPr>
                <w:szCs w:val="22"/>
              </w:rPr>
              <w:t>C:</w:t>
            </w:r>
          </w:p>
          <w:p w14:paraId="2CB4D1D5" w14:textId="77777777" w:rsidR="00B501E3" w:rsidRDefault="00B501E3" w:rsidP="000622E5">
            <w:pPr>
              <w:rPr>
                <w:szCs w:val="22"/>
              </w:rPr>
            </w:pPr>
            <w:r>
              <w:rPr>
                <w:szCs w:val="22"/>
              </w:rPr>
              <w:t>D:</w:t>
            </w:r>
          </w:p>
          <w:p w14:paraId="2FE2B584" w14:textId="77777777" w:rsidR="00B501E3" w:rsidRDefault="00B501E3" w:rsidP="000622E5">
            <w:pPr>
              <w:rPr>
                <w:szCs w:val="22"/>
              </w:rPr>
            </w:pPr>
            <w:r>
              <w:rPr>
                <w:szCs w:val="22"/>
              </w:rPr>
              <w:t>E:</w:t>
            </w:r>
          </w:p>
          <w:p w14:paraId="275A5A54" w14:textId="77777777" w:rsidR="00B501E3" w:rsidRPr="00C435D2" w:rsidRDefault="00B501E3" w:rsidP="000622E5">
            <w:pPr>
              <w:rPr>
                <w:szCs w:val="22"/>
              </w:rPr>
            </w:pPr>
          </w:p>
        </w:tc>
      </w:tr>
      <w:tr w:rsidR="00B501E3" w14:paraId="258036A9" w14:textId="77777777" w:rsidTr="000622E5">
        <w:tc>
          <w:tcPr>
            <w:tcW w:w="1271" w:type="dxa"/>
          </w:tcPr>
          <w:p w14:paraId="761C3F9D" w14:textId="77777777" w:rsidR="00B501E3" w:rsidRPr="00F76D36" w:rsidRDefault="00B501E3" w:rsidP="000622E5">
            <w:r w:rsidRPr="00F76D36">
              <w:t>3.2 (a)(xv)</w:t>
            </w:r>
          </w:p>
        </w:tc>
        <w:tc>
          <w:tcPr>
            <w:tcW w:w="6662" w:type="dxa"/>
          </w:tcPr>
          <w:p w14:paraId="34C15AA7" w14:textId="77777777" w:rsidR="00B501E3" w:rsidRDefault="00B501E3" w:rsidP="000622E5">
            <w:r>
              <w:t>the date of the first annual general shareholder meeting following the first day of trading (A) as well as the scheduled date for first publication of the audited or unaudited annual earnings figures or half-yearly report following the first day of trading (B), as the case may be;</w:t>
            </w:r>
          </w:p>
        </w:tc>
        <w:tc>
          <w:tcPr>
            <w:tcW w:w="1067" w:type="dxa"/>
          </w:tcPr>
          <w:p w14:paraId="78BF92CE" w14:textId="77777777" w:rsidR="00B501E3" w:rsidRDefault="00B501E3" w:rsidP="000622E5">
            <w:pPr>
              <w:rPr>
                <w:szCs w:val="22"/>
              </w:rPr>
            </w:pPr>
            <w:r>
              <w:rPr>
                <w:szCs w:val="22"/>
              </w:rPr>
              <w:t>A:</w:t>
            </w:r>
          </w:p>
          <w:p w14:paraId="686FD661" w14:textId="77777777" w:rsidR="00B501E3" w:rsidRPr="00C435D2" w:rsidRDefault="00B501E3" w:rsidP="000622E5">
            <w:pPr>
              <w:rPr>
                <w:szCs w:val="22"/>
              </w:rPr>
            </w:pPr>
            <w:r>
              <w:rPr>
                <w:szCs w:val="22"/>
              </w:rPr>
              <w:t>B:</w:t>
            </w:r>
          </w:p>
        </w:tc>
      </w:tr>
      <w:tr w:rsidR="00B501E3" w14:paraId="2FE89514" w14:textId="77777777" w:rsidTr="000622E5">
        <w:tc>
          <w:tcPr>
            <w:tcW w:w="1271" w:type="dxa"/>
          </w:tcPr>
          <w:p w14:paraId="42BDA8B1" w14:textId="77777777" w:rsidR="00B501E3" w:rsidRPr="00F76D36" w:rsidRDefault="00B501E3" w:rsidP="000622E5">
            <w:r w:rsidRPr="00F76D36">
              <w:t>3.2 (a)(xvi)</w:t>
            </w:r>
          </w:p>
        </w:tc>
        <w:tc>
          <w:tcPr>
            <w:tcW w:w="6662" w:type="dxa"/>
          </w:tcPr>
          <w:p w14:paraId="00FD6A18" w14:textId="77777777" w:rsidR="00B501E3" w:rsidRDefault="00B501E3" w:rsidP="000622E5">
            <w:r>
              <w:t>the identity of the Certified Adviser (A) and any liquidity provider retained by the Issuer (B);</w:t>
            </w:r>
          </w:p>
        </w:tc>
        <w:tc>
          <w:tcPr>
            <w:tcW w:w="1067" w:type="dxa"/>
          </w:tcPr>
          <w:p w14:paraId="14DBBB64" w14:textId="77777777" w:rsidR="00B501E3" w:rsidRDefault="00B501E3" w:rsidP="000622E5">
            <w:pPr>
              <w:rPr>
                <w:szCs w:val="22"/>
              </w:rPr>
            </w:pPr>
            <w:r>
              <w:rPr>
                <w:szCs w:val="22"/>
              </w:rPr>
              <w:t>A:</w:t>
            </w:r>
          </w:p>
          <w:p w14:paraId="4CB0A64C" w14:textId="77777777" w:rsidR="00B501E3" w:rsidRPr="00C435D2" w:rsidRDefault="00B501E3" w:rsidP="000622E5">
            <w:pPr>
              <w:rPr>
                <w:szCs w:val="22"/>
              </w:rPr>
            </w:pPr>
            <w:r>
              <w:rPr>
                <w:szCs w:val="22"/>
              </w:rPr>
              <w:t>B:</w:t>
            </w:r>
          </w:p>
        </w:tc>
      </w:tr>
      <w:tr w:rsidR="00B501E3" w14:paraId="4DA67145" w14:textId="77777777" w:rsidTr="000622E5">
        <w:tc>
          <w:tcPr>
            <w:tcW w:w="1271" w:type="dxa"/>
          </w:tcPr>
          <w:p w14:paraId="08ABEBCC" w14:textId="77777777" w:rsidR="00B501E3" w:rsidRPr="00F76D36" w:rsidRDefault="00B501E3" w:rsidP="000622E5">
            <w:r w:rsidRPr="00F76D36">
              <w:t>3.2 (a)(xvii)</w:t>
            </w:r>
          </w:p>
        </w:tc>
        <w:tc>
          <w:tcPr>
            <w:tcW w:w="6662" w:type="dxa"/>
          </w:tcPr>
          <w:p w14:paraId="4681A82E" w14:textId="77777777" w:rsidR="00B501E3" w:rsidRDefault="00B501E3" w:rsidP="000622E5">
            <w:r>
              <w:t>all relevant information about the financial instruments to be traded (A), including the Issuer’s articles of association (B), information on the Issuer’s share capital (C) and breakdown by share class (D);</w:t>
            </w:r>
          </w:p>
        </w:tc>
        <w:tc>
          <w:tcPr>
            <w:tcW w:w="1067" w:type="dxa"/>
          </w:tcPr>
          <w:p w14:paraId="771DD9F4" w14:textId="77777777" w:rsidR="00B501E3" w:rsidRDefault="00B501E3" w:rsidP="000622E5">
            <w:pPr>
              <w:rPr>
                <w:szCs w:val="22"/>
              </w:rPr>
            </w:pPr>
            <w:r>
              <w:rPr>
                <w:szCs w:val="22"/>
              </w:rPr>
              <w:t>A:</w:t>
            </w:r>
          </w:p>
          <w:p w14:paraId="4F3F5F66" w14:textId="77777777" w:rsidR="00B501E3" w:rsidRDefault="00B501E3" w:rsidP="000622E5">
            <w:pPr>
              <w:rPr>
                <w:szCs w:val="22"/>
              </w:rPr>
            </w:pPr>
            <w:r>
              <w:rPr>
                <w:szCs w:val="22"/>
              </w:rPr>
              <w:t>B:</w:t>
            </w:r>
          </w:p>
          <w:p w14:paraId="4D3BAC56" w14:textId="77777777" w:rsidR="00B501E3" w:rsidRDefault="00B501E3" w:rsidP="000622E5">
            <w:pPr>
              <w:rPr>
                <w:szCs w:val="22"/>
              </w:rPr>
            </w:pPr>
            <w:r>
              <w:rPr>
                <w:szCs w:val="22"/>
              </w:rPr>
              <w:t>C:</w:t>
            </w:r>
          </w:p>
          <w:p w14:paraId="054F48BF" w14:textId="77777777" w:rsidR="00B501E3" w:rsidRPr="00C435D2" w:rsidRDefault="00B501E3" w:rsidP="000622E5">
            <w:pPr>
              <w:rPr>
                <w:szCs w:val="22"/>
              </w:rPr>
            </w:pPr>
            <w:r>
              <w:rPr>
                <w:szCs w:val="22"/>
              </w:rPr>
              <w:t>D:</w:t>
            </w:r>
          </w:p>
        </w:tc>
      </w:tr>
      <w:tr w:rsidR="00B501E3" w14:paraId="6B59840E" w14:textId="77777777" w:rsidTr="000622E5">
        <w:tc>
          <w:tcPr>
            <w:tcW w:w="1271" w:type="dxa"/>
          </w:tcPr>
          <w:p w14:paraId="05545284" w14:textId="77777777" w:rsidR="00B501E3" w:rsidRPr="00F76D36" w:rsidRDefault="00B501E3" w:rsidP="000622E5">
            <w:r w:rsidRPr="00F76D36">
              <w:t>3.2 (a)(xviii)</w:t>
            </w:r>
          </w:p>
        </w:tc>
        <w:tc>
          <w:tcPr>
            <w:tcW w:w="6662" w:type="dxa"/>
          </w:tcPr>
          <w:p w14:paraId="0EEE3B64" w14:textId="77777777" w:rsidR="00B501E3" w:rsidRDefault="00B501E3" w:rsidP="000622E5">
            <w:r>
              <w:t>other relevant information depending on specific circumstances, such as tax (A), litigation (B) etc.(C); and</w:t>
            </w:r>
          </w:p>
        </w:tc>
        <w:tc>
          <w:tcPr>
            <w:tcW w:w="1067" w:type="dxa"/>
          </w:tcPr>
          <w:p w14:paraId="64692FF6" w14:textId="77777777" w:rsidR="00B501E3" w:rsidRDefault="00B501E3" w:rsidP="000622E5">
            <w:pPr>
              <w:rPr>
                <w:szCs w:val="22"/>
              </w:rPr>
            </w:pPr>
            <w:r>
              <w:rPr>
                <w:szCs w:val="22"/>
              </w:rPr>
              <w:t>A:</w:t>
            </w:r>
          </w:p>
          <w:p w14:paraId="3261D8E5" w14:textId="77777777" w:rsidR="00B501E3" w:rsidRDefault="00B501E3" w:rsidP="000622E5">
            <w:pPr>
              <w:rPr>
                <w:szCs w:val="22"/>
              </w:rPr>
            </w:pPr>
            <w:r>
              <w:rPr>
                <w:szCs w:val="22"/>
              </w:rPr>
              <w:t>B:</w:t>
            </w:r>
          </w:p>
          <w:p w14:paraId="6ECA8B93" w14:textId="77777777" w:rsidR="00B501E3" w:rsidRPr="00C435D2" w:rsidRDefault="00B501E3" w:rsidP="000622E5">
            <w:pPr>
              <w:rPr>
                <w:szCs w:val="22"/>
              </w:rPr>
            </w:pPr>
            <w:r>
              <w:rPr>
                <w:szCs w:val="22"/>
              </w:rPr>
              <w:t>C:</w:t>
            </w:r>
          </w:p>
        </w:tc>
      </w:tr>
      <w:tr w:rsidR="00B501E3" w14:paraId="4DBBB268" w14:textId="77777777" w:rsidTr="000622E5">
        <w:tc>
          <w:tcPr>
            <w:tcW w:w="1271" w:type="dxa"/>
          </w:tcPr>
          <w:p w14:paraId="642BFE73" w14:textId="77777777" w:rsidR="00B501E3" w:rsidRPr="00F76D36" w:rsidRDefault="00B501E3" w:rsidP="000622E5">
            <w:r w:rsidRPr="00F76D36">
              <w:t>3.2 (a)(xix)</w:t>
            </w:r>
          </w:p>
        </w:tc>
        <w:tc>
          <w:tcPr>
            <w:tcW w:w="6662" w:type="dxa"/>
          </w:tcPr>
          <w:p w14:paraId="06CD7B3D" w14:textId="77777777" w:rsidR="00B501E3" w:rsidRDefault="00B501E3" w:rsidP="000622E5">
            <w:r>
              <w:t>an explanation stating whether or not, in its opinion, the Issuer possesses sufficient working capital for at least twelve months after the first day of trading (A), based on its present requirements or, if not, how it proposes to provide the additional working capital needed in order to be able to conduct the planned business (B). If the Issuer does not possess documented earnings capacity, it shall also be made clear how the Issuer intends to finance its operation until it is profitable (C)</w:t>
            </w:r>
          </w:p>
        </w:tc>
        <w:tc>
          <w:tcPr>
            <w:tcW w:w="1067" w:type="dxa"/>
          </w:tcPr>
          <w:p w14:paraId="13FD977F" w14:textId="77777777" w:rsidR="00B501E3" w:rsidRDefault="00B501E3" w:rsidP="000622E5">
            <w:pPr>
              <w:rPr>
                <w:szCs w:val="22"/>
              </w:rPr>
            </w:pPr>
            <w:r>
              <w:rPr>
                <w:szCs w:val="22"/>
              </w:rPr>
              <w:t>A:</w:t>
            </w:r>
          </w:p>
          <w:p w14:paraId="02A9AFCB" w14:textId="77777777" w:rsidR="00B501E3" w:rsidRDefault="00B501E3" w:rsidP="000622E5">
            <w:pPr>
              <w:rPr>
                <w:szCs w:val="22"/>
              </w:rPr>
            </w:pPr>
            <w:r>
              <w:rPr>
                <w:szCs w:val="22"/>
              </w:rPr>
              <w:t>B:</w:t>
            </w:r>
          </w:p>
          <w:p w14:paraId="42C9AB41" w14:textId="77777777" w:rsidR="00B501E3" w:rsidRPr="00C435D2" w:rsidRDefault="00B501E3" w:rsidP="000622E5">
            <w:pPr>
              <w:rPr>
                <w:szCs w:val="22"/>
              </w:rPr>
            </w:pPr>
            <w:r>
              <w:rPr>
                <w:szCs w:val="22"/>
              </w:rPr>
              <w:t>C:</w:t>
            </w:r>
          </w:p>
        </w:tc>
      </w:tr>
      <w:tr w:rsidR="00B501E3" w14:paraId="1413AFBA" w14:textId="77777777" w:rsidTr="000622E5">
        <w:tc>
          <w:tcPr>
            <w:tcW w:w="1271" w:type="dxa"/>
          </w:tcPr>
          <w:p w14:paraId="34B82FCD" w14:textId="77777777" w:rsidR="00B501E3" w:rsidRPr="00F76D36" w:rsidRDefault="00B501E3" w:rsidP="000622E5">
            <w:r w:rsidRPr="00F76D36">
              <w:t>3.2 (b)</w:t>
            </w:r>
          </w:p>
        </w:tc>
        <w:tc>
          <w:tcPr>
            <w:tcW w:w="6662" w:type="dxa"/>
          </w:tcPr>
          <w:p w14:paraId="190E9428" w14:textId="77777777" w:rsidR="00B501E3" w:rsidRDefault="00B501E3" w:rsidP="000622E5">
            <w:r>
              <w:t>The Company Description shall on the first page include a disclaimer concerning the Nasdaq First North Growth Market (see Appendix D).</w:t>
            </w:r>
          </w:p>
        </w:tc>
        <w:tc>
          <w:tcPr>
            <w:tcW w:w="1067" w:type="dxa"/>
          </w:tcPr>
          <w:p w14:paraId="5F567D59" w14:textId="77777777" w:rsidR="00B501E3" w:rsidRPr="00C435D2" w:rsidRDefault="00B501E3" w:rsidP="000622E5">
            <w:pPr>
              <w:rPr>
                <w:szCs w:val="22"/>
              </w:rPr>
            </w:pPr>
          </w:p>
        </w:tc>
      </w:tr>
      <w:tr w:rsidR="00B501E3" w14:paraId="4021BD94" w14:textId="77777777" w:rsidTr="000622E5">
        <w:tc>
          <w:tcPr>
            <w:tcW w:w="1271" w:type="dxa"/>
          </w:tcPr>
          <w:p w14:paraId="524937BA" w14:textId="77777777" w:rsidR="00B501E3" w:rsidRPr="00F76D36" w:rsidRDefault="00B501E3" w:rsidP="000622E5">
            <w:r w:rsidRPr="00F76D36">
              <w:t>3.2 (c)</w:t>
            </w:r>
          </w:p>
        </w:tc>
        <w:tc>
          <w:tcPr>
            <w:tcW w:w="6662" w:type="dxa"/>
          </w:tcPr>
          <w:p w14:paraId="5DEBCD82" w14:textId="77777777" w:rsidR="00B501E3" w:rsidRDefault="00B501E3" w:rsidP="000622E5">
            <w:r>
              <w:t xml:space="preserve">The Company Description shall clearly state that it </w:t>
            </w:r>
            <w:proofErr w:type="gramStart"/>
            <w:r>
              <w:t>have</w:t>
            </w:r>
            <w:proofErr w:type="gramEnd"/>
            <w:r>
              <w:t xml:space="preserve"> been drawn up under the responsibility of the Issuer (A) and that it has been reviewed by the Exchange (B).</w:t>
            </w:r>
          </w:p>
        </w:tc>
        <w:tc>
          <w:tcPr>
            <w:tcW w:w="1067" w:type="dxa"/>
          </w:tcPr>
          <w:p w14:paraId="3A37E67E" w14:textId="77777777" w:rsidR="00B501E3" w:rsidRDefault="00B501E3" w:rsidP="000622E5">
            <w:pPr>
              <w:rPr>
                <w:szCs w:val="22"/>
              </w:rPr>
            </w:pPr>
            <w:r>
              <w:rPr>
                <w:szCs w:val="22"/>
              </w:rPr>
              <w:t>A:</w:t>
            </w:r>
          </w:p>
          <w:p w14:paraId="0D9249B1" w14:textId="77777777" w:rsidR="00B501E3" w:rsidRPr="00C435D2" w:rsidRDefault="00B501E3" w:rsidP="000622E5">
            <w:pPr>
              <w:rPr>
                <w:szCs w:val="22"/>
              </w:rPr>
            </w:pPr>
            <w:r>
              <w:rPr>
                <w:szCs w:val="22"/>
              </w:rPr>
              <w:t>B:</w:t>
            </w:r>
          </w:p>
        </w:tc>
      </w:tr>
    </w:tbl>
    <w:p w14:paraId="6972AC08" w14:textId="77777777" w:rsidR="00B501E3" w:rsidRPr="00186CCB" w:rsidRDefault="00B501E3" w:rsidP="00B501E3">
      <w:pPr>
        <w:rPr>
          <w:sz w:val="28"/>
        </w:rPr>
      </w:pPr>
    </w:p>
    <w:p w14:paraId="6F3EA3DE" w14:textId="77777777" w:rsidR="00B501E3" w:rsidRPr="00D640C6" w:rsidRDefault="00B501E3" w:rsidP="00B501E3">
      <w:pPr>
        <w:rPr>
          <w:lang w:val="is-IS"/>
        </w:rPr>
      </w:pPr>
    </w:p>
    <w:p w14:paraId="0C9D5DF0" w14:textId="77777777" w:rsidR="00A329E0" w:rsidRDefault="00A329E0"/>
    <w:sectPr w:rsidR="00A329E0" w:rsidSect="00BF1725">
      <w:headerReference w:type="default" r:id="rId6"/>
      <w:footerReference w:type="default" r:id="rId7"/>
      <w:headerReference w:type="first" r:id="rId8"/>
      <w:footerReference w:type="first" r:id="rId9"/>
      <w:pgSz w:w="11907" w:h="16840" w:code="9"/>
      <w:pgMar w:top="761" w:right="1394" w:bottom="709" w:left="1503" w:header="708"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C02666" w14:textId="77777777" w:rsidR="00B563A2" w:rsidRDefault="00B563A2" w:rsidP="00B501E3">
      <w:pPr>
        <w:spacing w:line="240" w:lineRule="auto"/>
      </w:pPr>
      <w:r>
        <w:separator/>
      </w:r>
    </w:p>
  </w:endnote>
  <w:endnote w:type="continuationSeparator" w:id="0">
    <w:p w14:paraId="32578CCE" w14:textId="77777777" w:rsidR="00B563A2" w:rsidRDefault="00B563A2" w:rsidP="00B501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75735" w14:textId="77777777" w:rsidR="00CD533D" w:rsidRPr="005B0FA8" w:rsidRDefault="002E09EF" w:rsidP="00D30F24">
    <w:pPr>
      <w:pStyle w:val="Footer"/>
    </w:pPr>
    <w:r w:rsidRPr="005B0FA8">
      <w:tab/>
    </w:r>
    <w:r w:rsidRPr="005B0FA8">
      <w:tab/>
    </w:r>
    <w:r>
      <w:fldChar w:fldCharType="begin"/>
    </w:r>
    <w:r>
      <w:instrText xml:space="preserve"> PAGE </w:instrText>
    </w:r>
    <w:r>
      <w:fldChar w:fldCharType="separate"/>
    </w:r>
    <w:r>
      <w:rPr>
        <w:noProof/>
      </w:rPr>
      <w:t>2</w:t>
    </w:r>
    <w:r>
      <w:rPr>
        <w:noProof/>
      </w:rPr>
      <w:fldChar w:fldCharType="end"/>
    </w:r>
    <w:r w:rsidRPr="005B0FA8">
      <w:t>(</w:t>
    </w:r>
    <w:r>
      <w:fldChar w:fldCharType="begin"/>
    </w:r>
    <w:r>
      <w:instrText xml:space="preserve"> NUMPAGES </w:instrText>
    </w:r>
    <w:r>
      <w:fldChar w:fldCharType="separate"/>
    </w:r>
    <w:r>
      <w:rPr>
        <w:noProof/>
      </w:rPr>
      <w:t>2</w:t>
    </w:r>
    <w:r>
      <w:rPr>
        <w:noProof/>
      </w:rPr>
      <w:fldChar w:fldCharType="end"/>
    </w:r>
    <w:r w:rsidRPr="005B0FA8">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3DF5C" w14:textId="77777777" w:rsidR="00CD533D" w:rsidRDefault="00244A86" w:rsidP="00D30F24">
    <w:pPr>
      <w:pStyle w:val="Footer"/>
      <w:tabs>
        <w:tab w:val="clear" w:pos="4459"/>
        <w:tab w:val="clear" w:pos="8901"/>
        <w:tab w:val="left" w:pos="5535"/>
      </w:tabs>
      <w:spacing w:before="10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F7B80F" w14:textId="77777777" w:rsidR="00B563A2" w:rsidRDefault="00B563A2" w:rsidP="00B501E3">
      <w:pPr>
        <w:spacing w:line="240" w:lineRule="auto"/>
      </w:pPr>
      <w:r>
        <w:separator/>
      </w:r>
    </w:p>
  </w:footnote>
  <w:footnote w:type="continuationSeparator" w:id="0">
    <w:p w14:paraId="4B8E3002" w14:textId="77777777" w:rsidR="00B563A2" w:rsidRDefault="00B563A2" w:rsidP="00B501E3">
      <w:pPr>
        <w:spacing w:line="240" w:lineRule="auto"/>
      </w:pPr>
      <w:r>
        <w:continuationSeparator/>
      </w:r>
    </w:p>
  </w:footnote>
  <w:footnote w:id="1">
    <w:p w14:paraId="51216A3E" w14:textId="1FCF1327" w:rsidR="00B501E3" w:rsidRPr="00801A8E" w:rsidRDefault="00B501E3" w:rsidP="00B501E3">
      <w:pPr>
        <w:pStyle w:val="FootnoteText"/>
        <w:rPr>
          <w:lang w:val="is-IS"/>
        </w:rPr>
      </w:pPr>
      <w:r>
        <w:rPr>
          <w:rStyle w:val="FootnoteReference"/>
        </w:rPr>
        <w:footnoteRef/>
      </w:r>
      <w:r>
        <w:t xml:space="preserve"> </w:t>
      </w:r>
      <w:r w:rsidRPr="00801A8E">
        <w:rPr>
          <w:sz w:val="18"/>
          <w:szCs w:val="18"/>
        </w:rPr>
        <w:t xml:space="preserve"> </w:t>
      </w:r>
      <w:r w:rsidR="00337968">
        <w:rPr>
          <w:sz w:val="18"/>
          <w:szCs w:val="18"/>
        </w:rPr>
        <w:t xml:space="preserve">Review </w:t>
      </w:r>
      <w:r w:rsidRPr="00801A8E">
        <w:rPr>
          <w:sz w:val="18"/>
          <w:szCs w:val="18"/>
        </w:rPr>
        <w:t>with Nasdaq First North Growth Market – Rulebook (1</w:t>
      </w:r>
      <w:r>
        <w:rPr>
          <w:sz w:val="18"/>
          <w:szCs w:val="18"/>
        </w:rPr>
        <w:t xml:space="preserve"> September</w:t>
      </w:r>
      <w:r w:rsidRPr="00801A8E">
        <w:rPr>
          <w:sz w:val="18"/>
          <w:szCs w:val="18"/>
        </w:rPr>
        <w:t xml:space="preserve">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5AA43" w14:textId="16AE3DAD" w:rsidR="00CD533D" w:rsidRDefault="002E09EF" w:rsidP="002E09EF">
    <w:pPr>
      <w:spacing w:after="960"/>
      <w:jc w:val="right"/>
    </w:pPr>
    <w:r w:rsidRPr="00751C62">
      <w:rPr>
        <w:noProof/>
      </w:rPr>
      <w:drawing>
        <wp:inline distT="0" distB="0" distL="0" distR="0" wp14:anchorId="3EE4804F" wp14:editId="67E6A754">
          <wp:extent cx="1941195" cy="385445"/>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1195" cy="38544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C4AD0" w14:textId="084C683A" w:rsidR="00CD533D" w:rsidRDefault="002E09EF" w:rsidP="002E09EF">
    <w:pPr>
      <w:spacing w:after="960"/>
      <w:jc w:val="right"/>
    </w:pPr>
    <w:r w:rsidRPr="00751C62">
      <w:rPr>
        <w:noProof/>
      </w:rPr>
      <w:drawing>
        <wp:inline distT="0" distB="0" distL="0" distR="0" wp14:anchorId="3594B974" wp14:editId="2895723D">
          <wp:extent cx="1941195" cy="38544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1195" cy="38544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1E3"/>
    <w:rsid w:val="000208DB"/>
    <w:rsid w:val="0006713C"/>
    <w:rsid w:val="000A24D3"/>
    <w:rsid w:val="000C2C3C"/>
    <w:rsid w:val="00107D65"/>
    <w:rsid w:val="00131B52"/>
    <w:rsid w:val="001A5E09"/>
    <w:rsid w:val="001B3B20"/>
    <w:rsid w:val="00244A86"/>
    <w:rsid w:val="00282A30"/>
    <w:rsid w:val="002E09EF"/>
    <w:rsid w:val="00317704"/>
    <w:rsid w:val="0032593B"/>
    <w:rsid w:val="00337968"/>
    <w:rsid w:val="003E535C"/>
    <w:rsid w:val="00453C9F"/>
    <w:rsid w:val="00572817"/>
    <w:rsid w:val="005E3105"/>
    <w:rsid w:val="00610A26"/>
    <w:rsid w:val="007778D3"/>
    <w:rsid w:val="00834B8E"/>
    <w:rsid w:val="008568C4"/>
    <w:rsid w:val="008F6516"/>
    <w:rsid w:val="009243C8"/>
    <w:rsid w:val="00A329E0"/>
    <w:rsid w:val="00AC6045"/>
    <w:rsid w:val="00B02781"/>
    <w:rsid w:val="00B501E3"/>
    <w:rsid w:val="00B563A2"/>
    <w:rsid w:val="00BC1E93"/>
    <w:rsid w:val="00CB0F8C"/>
    <w:rsid w:val="00D62541"/>
    <w:rsid w:val="00DF752D"/>
    <w:rsid w:val="00EF7E95"/>
    <w:rsid w:val="00F57CC6"/>
    <w:rsid w:val="00F721EB"/>
    <w:rsid w:val="00F835A7"/>
    <w:rsid w:val="00F845F8"/>
    <w:rsid w:val="00F95F1B"/>
    <w:rsid w:val="00FF5A92"/>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B44D84"/>
  <w15:chartTrackingRefBased/>
  <w15:docId w15:val="{11F14A38-4FA7-4965-9FFE-E2F5361C4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1E3"/>
    <w:pPr>
      <w:spacing w:after="0" w:line="260" w:lineRule="atLeast"/>
    </w:pPr>
    <w:rPr>
      <w:rFonts w:ascii="Times New Roman" w:eastAsia="Times New Roman" w:hAnsi="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501E3"/>
    <w:pPr>
      <w:tabs>
        <w:tab w:val="center" w:pos="4459"/>
        <w:tab w:val="right" w:pos="8901"/>
      </w:tabs>
      <w:spacing w:before="240"/>
    </w:pPr>
  </w:style>
  <w:style w:type="character" w:customStyle="1" w:styleId="FooterChar">
    <w:name w:val="Footer Char"/>
    <w:basedOn w:val="DefaultParagraphFont"/>
    <w:link w:val="Footer"/>
    <w:rsid w:val="00B501E3"/>
    <w:rPr>
      <w:rFonts w:ascii="Times New Roman" w:eastAsia="Times New Roman" w:hAnsi="Times New Roman" w:cs="Times New Roman"/>
      <w:szCs w:val="20"/>
      <w:lang w:val="en-US"/>
    </w:rPr>
  </w:style>
  <w:style w:type="table" w:styleId="TableGrid">
    <w:name w:val="Table Grid"/>
    <w:basedOn w:val="TableNormal"/>
    <w:uiPriority w:val="59"/>
    <w:rsid w:val="00B501E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501E3"/>
    <w:pPr>
      <w:spacing w:line="240" w:lineRule="auto"/>
    </w:pPr>
    <w:rPr>
      <w:sz w:val="20"/>
    </w:rPr>
  </w:style>
  <w:style w:type="character" w:customStyle="1" w:styleId="FootnoteTextChar">
    <w:name w:val="Footnote Text Char"/>
    <w:basedOn w:val="DefaultParagraphFont"/>
    <w:link w:val="FootnoteText"/>
    <w:uiPriority w:val="99"/>
    <w:semiHidden/>
    <w:rsid w:val="00B501E3"/>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B501E3"/>
    <w:rPr>
      <w:vertAlign w:val="superscript"/>
    </w:rPr>
  </w:style>
  <w:style w:type="paragraph" w:styleId="Header">
    <w:name w:val="header"/>
    <w:basedOn w:val="Normal"/>
    <w:link w:val="HeaderChar"/>
    <w:uiPriority w:val="99"/>
    <w:unhideWhenUsed/>
    <w:rsid w:val="002E09EF"/>
    <w:pPr>
      <w:tabs>
        <w:tab w:val="center" w:pos="4513"/>
        <w:tab w:val="right" w:pos="9026"/>
      </w:tabs>
      <w:spacing w:line="240" w:lineRule="auto"/>
    </w:pPr>
  </w:style>
  <w:style w:type="character" w:customStyle="1" w:styleId="HeaderChar">
    <w:name w:val="Header Char"/>
    <w:basedOn w:val="DefaultParagraphFont"/>
    <w:link w:val="Header"/>
    <w:uiPriority w:val="99"/>
    <w:rsid w:val="002E09EF"/>
    <w:rPr>
      <w:rFonts w:ascii="Times New Roman" w:eastAsia="Times New Roman" w:hAnsi="Times New Roman"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787</Words>
  <Characters>4492</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Baldvin Sigurðsson</dc:creator>
  <cp:keywords/>
  <dc:description/>
  <cp:lastModifiedBy>Guðrún Özurardóttir</cp:lastModifiedBy>
  <cp:revision>2</cp:revision>
  <dcterms:created xsi:type="dcterms:W3CDTF">2021-08-18T12:42:00Z</dcterms:created>
  <dcterms:modified xsi:type="dcterms:W3CDTF">2021-08-18T12:42:00Z</dcterms:modified>
</cp:coreProperties>
</file>