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B8F15" w14:textId="77777777" w:rsidR="0066271A" w:rsidRDefault="0066271A">
      <w:pPr>
        <w:rPr>
          <w:b/>
          <w:sz w:val="36"/>
        </w:rPr>
      </w:pPr>
      <w:r w:rsidRPr="0066271A">
        <w:rPr>
          <w:b/>
          <w:sz w:val="36"/>
        </w:rPr>
        <w:t xml:space="preserve">First North </w:t>
      </w:r>
      <w:r w:rsidR="00CE441E">
        <w:rPr>
          <w:b/>
          <w:sz w:val="36"/>
        </w:rPr>
        <w:t xml:space="preserve">Iceland Fixed Income </w:t>
      </w:r>
      <w:r w:rsidRPr="0066271A">
        <w:rPr>
          <w:b/>
          <w:sz w:val="36"/>
        </w:rPr>
        <w:t>Company Description Check-List</w:t>
      </w:r>
    </w:p>
    <w:p w14:paraId="498D148F" w14:textId="77777777" w:rsidR="00186CCB" w:rsidRPr="00186CCB" w:rsidRDefault="00186CCB" w:rsidP="00186CCB">
      <w:pPr>
        <w:spacing w:before="120"/>
        <w:rPr>
          <w:sz w:val="28"/>
        </w:rPr>
      </w:pPr>
      <w:r w:rsidRPr="00186CCB">
        <w:rPr>
          <w:sz w:val="28"/>
        </w:rPr>
        <w:t>Issuer:</w:t>
      </w:r>
    </w:p>
    <w:p w14:paraId="445A9C92" w14:textId="44D5EBEC" w:rsidR="00186CCB" w:rsidRDefault="00186CCB">
      <w:pPr>
        <w:rPr>
          <w:sz w:val="28"/>
        </w:rPr>
      </w:pPr>
      <w:r w:rsidRPr="00186CCB">
        <w:rPr>
          <w:sz w:val="28"/>
        </w:rPr>
        <w:t>Date:</w:t>
      </w:r>
    </w:p>
    <w:p w14:paraId="5DC89D64" w14:textId="77777777" w:rsidR="00086837" w:rsidRPr="00186CCB" w:rsidRDefault="00086837">
      <w:pPr>
        <w:rPr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814"/>
      </w:tblGrid>
      <w:tr w:rsidR="00086837" w:rsidRPr="00F10FCF" w14:paraId="0022D04C" w14:textId="77777777" w:rsidTr="00086837">
        <w:tc>
          <w:tcPr>
            <w:tcW w:w="7225" w:type="dxa"/>
            <w:shd w:val="clear" w:color="auto" w:fill="DBE5F1"/>
          </w:tcPr>
          <w:p w14:paraId="6BE7174A" w14:textId="6BB0B0F9" w:rsidR="00086837" w:rsidRPr="00F10FCF" w:rsidRDefault="00086837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F10FCF">
              <w:rPr>
                <w:b/>
                <w:bCs/>
                <w:sz w:val="20"/>
              </w:rPr>
              <w:t xml:space="preserve">The Company Description shall at least include the following information about the </w:t>
            </w:r>
            <w:r w:rsidRPr="00F10FCF">
              <w:rPr>
                <w:b/>
                <w:bCs/>
                <w:sz w:val="20"/>
                <w:u w:val="single"/>
              </w:rPr>
              <w:t>Issuer</w:t>
            </w:r>
            <w:r w:rsidRPr="00F10FCF">
              <w:rPr>
                <w:b/>
                <w:bCs/>
                <w:sz w:val="20"/>
              </w:rPr>
              <w:t>:</w:t>
            </w:r>
          </w:p>
        </w:tc>
        <w:tc>
          <w:tcPr>
            <w:tcW w:w="1814" w:type="dxa"/>
            <w:shd w:val="clear" w:color="auto" w:fill="DBE5F1"/>
          </w:tcPr>
          <w:p w14:paraId="1B755AA3" w14:textId="178D5DDF" w:rsidR="00086837" w:rsidRPr="00F10FCF" w:rsidRDefault="00086837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F10FCF">
              <w:rPr>
                <w:b/>
                <w:bCs/>
                <w:sz w:val="20"/>
              </w:rPr>
              <w:t>Pages in the company description</w:t>
            </w:r>
          </w:p>
        </w:tc>
      </w:tr>
      <w:tr w:rsidR="00086837" w:rsidRPr="003C2060" w14:paraId="15CEA8F5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529DA61C" w14:textId="6EDF41F7" w:rsidR="00086837" w:rsidRPr="00086837" w:rsidRDefault="00802271" w:rsidP="00802271">
            <w:pPr>
              <w:pStyle w:val="Title"/>
              <w:jc w:val="both"/>
              <w:rPr>
                <w:b/>
                <w:sz w:val="20"/>
                <w:lang w:val="en-GB"/>
              </w:rPr>
            </w:pPr>
            <w:r>
              <w:rPr>
                <w:sz w:val="20"/>
              </w:rPr>
              <w:t>D</w:t>
            </w:r>
            <w:r w:rsidRPr="00802271">
              <w:rPr>
                <w:sz w:val="20"/>
              </w:rPr>
              <w:t>escription of the Issuer, including the business model, organization,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competitive situation, most significant markets, most significant risk factors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and the reasons for the decision to admit the fixed income instruments to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trading;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4FA6A5A" w14:textId="77777777" w:rsidR="00086837" w:rsidRPr="00A162DB" w:rsidRDefault="00086837" w:rsidP="005A1FCF">
            <w:pPr>
              <w:pStyle w:val="Title"/>
              <w:spacing w:before="120" w:after="120"/>
              <w:jc w:val="left"/>
              <w:rPr>
                <w:b/>
                <w:sz w:val="20"/>
                <w:lang w:val="en-GB"/>
              </w:rPr>
            </w:pPr>
          </w:p>
        </w:tc>
      </w:tr>
      <w:tr w:rsidR="00086837" w:rsidRPr="003C2060" w14:paraId="6F82E681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2E53885D" w14:textId="0F2320C8" w:rsidR="00086837" w:rsidRP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802271">
              <w:rPr>
                <w:sz w:val="20"/>
              </w:rPr>
              <w:t>he Issuer’s audited annual financial statements for the last two years, where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applicable. Where applicable in the relevant accounting laws, the accounts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shall also include consolidated accounts for the Issuer and all its subsidiaries;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5A329AE" w14:textId="77777777" w:rsidR="00086837" w:rsidRPr="00A162DB" w:rsidRDefault="00086837" w:rsidP="005A1FCF">
            <w:pPr>
              <w:pStyle w:val="Title"/>
              <w:spacing w:before="120" w:after="120"/>
              <w:jc w:val="left"/>
              <w:rPr>
                <w:b/>
                <w:sz w:val="20"/>
                <w:lang w:val="en-GB"/>
              </w:rPr>
            </w:pPr>
          </w:p>
        </w:tc>
      </w:tr>
      <w:tr w:rsidR="00086837" w:rsidRPr="003C2060" w14:paraId="25EE5E16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18FFD832" w14:textId="72B4811E" w:rsidR="00802271" w:rsidRPr="00802271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802271">
              <w:rPr>
                <w:sz w:val="20"/>
              </w:rPr>
              <w:t>he Issuer’s most recent half-yearly or quarterly report if such has been</w:t>
            </w:r>
          </w:p>
          <w:p w14:paraId="5A802D71" w14:textId="11CA428E" w:rsidR="00086837" w:rsidRP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02271">
              <w:rPr>
                <w:sz w:val="20"/>
              </w:rPr>
              <w:t>published;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25C31C7" w14:textId="77777777" w:rsidR="00086837" w:rsidRPr="00A162DB" w:rsidRDefault="00086837" w:rsidP="005A1FCF">
            <w:pPr>
              <w:pStyle w:val="Title"/>
              <w:spacing w:before="120" w:after="120"/>
              <w:jc w:val="left"/>
              <w:rPr>
                <w:b/>
                <w:sz w:val="20"/>
                <w:lang w:val="en-GB"/>
              </w:rPr>
            </w:pPr>
          </w:p>
        </w:tc>
      </w:tr>
      <w:tr w:rsidR="00086837" w:rsidRPr="00086837" w14:paraId="673EA6EA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3E461365" w14:textId="4D836370" w:rsidR="00086837" w:rsidRP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 w:rsidRPr="00802271">
              <w:rPr>
                <w:sz w:val="20"/>
              </w:rPr>
              <w:t>omments on the financial development regarding the period covered by the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financial history. If there are material changes between the periods for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individual financial items, this shall be explained;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162D2D3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086837" w:rsidRPr="00086837" w14:paraId="6818BA9A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79FD1000" w14:textId="37FC675A" w:rsidR="00086837" w:rsidRPr="00086837" w:rsidRDefault="00802271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802271">
              <w:rPr>
                <w:sz w:val="20"/>
              </w:rPr>
              <w:t>escription of the Board of Directors and the management of the Issuer;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C5BC81B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F7956" w:rsidRPr="00086837" w14:paraId="77FAA4AD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36266582" w14:textId="1557A280" w:rsidR="005F7956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02271">
              <w:rPr>
                <w:sz w:val="20"/>
              </w:rPr>
              <w:t>ll information about historical, or on-going, bankruptcy, liquidation or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similar procedure and also fraud related convictions or on-going procedures in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which any person in the management and/or the Board of Directors of the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Issuer has been involved. The historical information shall cover at least the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five previous years;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A10F7AD" w14:textId="77777777" w:rsidR="005F7956" w:rsidRPr="00086837" w:rsidRDefault="005F795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086837" w:rsidRPr="00086837" w14:paraId="3BA9DB8B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63FBFE3B" w14:textId="6C6C02AD" w:rsidR="00086837" w:rsidRP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02271">
              <w:rPr>
                <w:sz w:val="20"/>
              </w:rPr>
              <w:t xml:space="preserve"> brief summary of all material contracts that are not entered into in the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ordinary course of business, which could result in the Issuer, or another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company within the same group of companies as the Issuer, being under an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obligation or entitlement that is material to the Issuer’s ability to meet its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obligations to fixed income instrument holders in respect of the fixed income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instruments being issued;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555123F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086837" w:rsidRPr="00086837" w14:paraId="71B0F5B7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4E7C0A44" w14:textId="0446E557" w:rsidR="00802271" w:rsidRPr="00802271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802271">
              <w:rPr>
                <w:sz w:val="20"/>
              </w:rPr>
              <w:t>escription of the ownership structure, including any shareholdings in the</w:t>
            </w:r>
          </w:p>
          <w:p w14:paraId="7E451A44" w14:textId="2ED8E4CB" w:rsid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02271">
              <w:rPr>
                <w:sz w:val="20"/>
              </w:rPr>
              <w:t>Issuer held by the Board of Directors and senior management;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C0D9F9C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086837" w:rsidRPr="00086837" w14:paraId="72C596A5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38B6D5D1" w14:textId="4361E7FD" w:rsid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802271">
              <w:rPr>
                <w:sz w:val="20"/>
              </w:rPr>
              <w:t>escription of any transactions with persons discharging managerial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responsibilities in the Issuer, board members, affiliates to such persons, major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owners or another company within the same group as the applicant;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9357490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086837" w:rsidRPr="00086837" w14:paraId="2D42B531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37CB5D2D" w14:textId="789F55E4" w:rsid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802271">
              <w:rPr>
                <w:sz w:val="20"/>
              </w:rPr>
              <w:t>he date of the first annual general shareholder meeting following the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application as well as the scheduled date for first publication of the audited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annual financial statements or interim financial statements following such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application, as the case may be;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FC254FA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F7956" w:rsidRPr="00086837" w14:paraId="1B4D3BED" w14:textId="77777777" w:rsidTr="00086837">
        <w:tc>
          <w:tcPr>
            <w:tcW w:w="7225" w:type="dxa"/>
            <w:tcBorders>
              <w:bottom w:val="single" w:sz="4" w:space="0" w:color="auto"/>
            </w:tcBorders>
          </w:tcPr>
          <w:p w14:paraId="0B857C62" w14:textId="0DE42A76" w:rsidR="00802271" w:rsidRPr="00802271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T</w:t>
            </w:r>
            <w:r w:rsidRPr="00802271">
              <w:rPr>
                <w:sz w:val="20"/>
              </w:rPr>
              <w:t>he identity of the advisers handling the application process, if applicable, and</w:t>
            </w:r>
          </w:p>
          <w:p w14:paraId="602EF0C9" w14:textId="6EC9D74A" w:rsidR="005F7956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02271">
              <w:rPr>
                <w:sz w:val="20"/>
              </w:rPr>
              <w:t>any liquidity provider retained by the Issuer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3D847F5" w14:textId="77777777" w:rsidR="005F7956" w:rsidRPr="00086837" w:rsidRDefault="005F795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086837" w:rsidRPr="00F10FCF" w14:paraId="681E35AF" w14:textId="77777777" w:rsidTr="00086837">
        <w:trPr>
          <w:trHeight w:val="514"/>
        </w:trPr>
        <w:tc>
          <w:tcPr>
            <w:tcW w:w="7225" w:type="dxa"/>
            <w:shd w:val="clear" w:color="auto" w:fill="DBE5F1"/>
          </w:tcPr>
          <w:p w14:paraId="7E584978" w14:textId="2FFB8037" w:rsidR="00086837" w:rsidRPr="00F10FCF" w:rsidRDefault="00544E96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F10FCF">
              <w:rPr>
                <w:b/>
                <w:bCs/>
                <w:sz w:val="20"/>
              </w:rPr>
              <w:t xml:space="preserve">The Company Description shall at least include the following information about the </w:t>
            </w:r>
            <w:r w:rsidRPr="00F10FCF">
              <w:rPr>
                <w:b/>
                <w:bCs/>
                <w:sz w:val="20"/>
                <w:u w:val="single"/>
              </w:rPr>
              <w:t>fixed income instruments</w:t>
            </w:r>
          </w:p>
        </w:tc>
        <w:tc>
          <w:tcPr>
            <w:tcW w:w="1814" w:type="dxa"/>
            <w:shd w:val="clear" w:color="auto" w:fill="DBE5F1"/>
          </w:tcPr>
          <w:p w14:paraId="1C0788F7" w14:textId="3010DC19" w:rsidR="00086837" w:rsidRPr="00F10FCF" w:rsidRDefault="00544E96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F10FCF">
              <w:rPr>
                <w:b/>
                <w:bCs/>
                <w:sz w:val="20"/>
              </w:rPr>
              <w:t>Pages in the company description</w:t>
            </w:r>
          </w:p>
        </w:tc>
      </w:tr>
      <w:tr w:rsidR="00086837" w:rsidRPr="00086837" w14:paraId="79423C76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69FE5F20" w14:textId="6CF9B64F" w:rsidR="00086837" w:rsidRPr="00086837" w:rsidRDefault="00802271" w:rsidP="00802271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802271">
              <w:rPr>
                <w:sz w:val="20"/>
              </w:rPr>
              <w:t>he risk factors that are material to the fixed income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instruments in order to assess the market risk associated with</w:t>
            </w:r>
            <w:r>
              <w:rPr>
                <w:sz w:val="20"/>
              </w:rPr>
              <w:t xml:space="preserve"> </w:t>
            </w:r>
            <w:r w:rsidRPr="00802271">
              <w:rPr>
                <w:sz w:val="20"/>
              </w:rPr>
              <w:t>these instruments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E9445AF" w14:textId="77777777" w:rsidR="00086837" w:rsidRPr="00086837" w:rsidRDefault="00086837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44E96" w:rsidRPr="00544E96" w14:paraId="53C19DDC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7A782064" w14:textId="3405051D" w:rsidR="00544E96" w:rsidRPr="00086837" w:rsidRDefault="00802271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 w:rsidRPr="00802271">
              <w:rPr>
                <w:sz w:val="20"/>
              </w:rPr>
              <w:t>nterest of natural and legal persons involved in the issue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D7F9D47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44E96" w:rsidRPr="00544E96" w14:paraId="58DD11AA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3510DE4E" w14:textId="56BBD606" w:rsidR="00544E96" w:rsidRPr="00086837" w:rsidRDefault="00802271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802271">
              <w:rPr>
                <w:sz w:val="20"/>
              </w:rPr>
              <w:t>easons for the admission to trading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32D387D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44E96" w:rsidRPr="00086837" w14:paraId="59AF8291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10928469" w14:textId="0FE8B125" w:rsidR="00544E96" w:rsidRPr="00086837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3171C">
              <w:rPr>
                <w:sz w:val="20"/>
              </w:rPr>
              <w:t xml:space="preserve"> description of the type and the class of the fixed income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instruments including the ISIN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FEE729B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44E96" w:rsidRPr="00544E96" w14:paraId="0FC3711C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6D699029" w14:textId="59B90849" w:rsidR="00544E96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 w:rsidRPr="0083171C">
              <w:rPr>
                <w:sz w:val="20"/>
              </w:rPr>
              <w:t>egislation under which the fixed income instruments have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been created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5CC757A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44E96" w:rsidRPr="00544E96" w14:paraId="361F707E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4BD5B7F5" w14:textId="7B3AA83F" w:rsidR="00544E96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3171C">
              <w:rPr>
                <w:sz w:val="20"/>
              </w:rPr>
              <w:t>n indication of whether the fixed income instruments are in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registered form or bearer form and weather the fixed income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instruments are in certificated form or book-entry form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0FF1D99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544E96" w:rsidRPr="00544E96" w14:paraId="0E90D8BC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7465B2AF" w14:textId="73C299E9" w:rsidR="00544E96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83171C">
              <w:rPr>
                <w:sz w:val="20"/>
              </w:rPr>
              <w:t>he currency of the fixed income instruments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C84D29D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544E96" w14:paraId="7AF52501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26D35EB1" w14:textId="148A591F" w:rsidR="0083171C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83171C">
              <w:rPr>
                <w:sz w:val="20"/>
              </w:rPr>
              <w:t>anking of the fixed income instruments being admitted to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trading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5E485FE" w14:textId="77777777" w:rsidR="0083171C" w:rsidRPr="00086837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544E96" w14:paraId="1E5D7821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78A32C4E" w14:textId="44B57C20" w:rsidR="0083171C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3171C">
              <w:rPr>
                <w:sz w:val="20"/>
              </w:rPr>
              <w:t xml:space="preserve"> description of the rights attached to the fixed income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instruments including any limitation of those rights and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procedure for the exercise of those rights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6E79C21" w14:textId="77777777" w:rsidR="0083171C" w:rsidRPr="00086837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544E96" w14:paraId="0909F811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348B738E" w14:textId="0CF08B9B" w:rsidR="0083171C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83171C">
              <w:rPr>
                <w:sz w:val="20"/>
              </w:rPr>
              <w:t>he nominal interest rate and provisions relating to interest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payable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4DCE354" w14:textId="77777777" w:rsidR="0083171C" w:rsidRPr="00086837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544E96" w14:paraId="6D5C4062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1398B599" w14:textId="6AAE80BD" w:rsidR="0083171C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 w:rsidRPr="0083171C">
              <w:rPr>
                <w:sz w:val="20"/>
              </w:rPr>
              <w:t>aturity date and arrangements for the amortization of the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loan including repayment procedures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47B6846" w14:textId="77777777" w:rsidR="0083171C" w:rsidRPr="00086837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544E96" w14:paraId="0D398447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330A9934" w14:textId="0AF290D3" w:rsidR="0083171C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3171C">
              <w:rPr>
                <w:sz w:val="20"/>
              </w:rPr>
              <w:t>n indication of the yield</w:t>
            </w:r>
            <w:r>
              <w:rPr>
                <w:sz w:val="20"/>
              </w:rPr>
              <w:t>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8A42C05" w14:textId="77777777" w:rsidR="0083171C" w:rsidRPr="00086837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544E96" w14:paraId="175CA923" w14:textId="77777777" w:rsidTr="00086837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5187B8EA" w14:textId="571369DE" w:rsidR="0083171C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  <w:r w:rsidRPr="0083171C">
              <w:rPr>
                <w:sz w:val="20"/>
              </w:rPr>
              <w:t>presentation of debt security holders;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ECDC71E" w14:textId="77777777" w:rsidR="0083171C" w:rsidRPr="00086837" w:rsidRDefault="0083171C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  <w:tr w:rsidR="0083171C" w:rsidRPr="00F10FCF" w14:paraId="4C52138A" w14:textId="77777777" w:rsidTr="005A1FCF">
        <w:trPr>
          <w:trHeight w:val="514"/>
        </w:trPr>
        <w:tc>
          <w:tcPr>
            <w:tcW w:w="7225" w:type="dxa"/>
            <w:shd w:val="clear" w:color="auto" w:fill="DBE5F1"/>
          </w:tcPr>
          <w:p w14:paraId="4AA092DA" w14:textId="79BE6CC2" w:rsidR="0083171C" w:rsidRPr="00F10FCF" w:rsidRDefault="0083171C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Other </w:t>
            </w:r>
            <w:r w:rsidR="00967A76">
              <w:rPr>
                <w:b/>
                <w:bCs/>
                <w:sz w:val="20"/>
              </w:rPr>
              <w:t>information</w:t>
            </w:r>
            <w:r>
              <w:rPr>
                <w:b/>
                <w:bCs/>
                <w:sz w:val="20"/>
              </w:rPr>
              <w:t xml:space="preserve"> t</w:t>
            </w:r>
            <w:r w:rsidRPr="00F10FCF">
              <w:rPr>
                <w:b/>
                <w:bCs/>
                <w:sz w:val="20"/>
              </w:rPr>
              <w:t xml:space="preserve">he Company Description shall </w:t>
            </w:r>
            <w:r>
              <w:rPr>
                <w:b/>
                <w:bCs/>
                <w:sz w:val="20"/>
              </w:rPr>
              <w:t>i</w:t>
            </w:r>
            <w:r w:rsidRPr="00F10FCF">
              <w:rPr>
                <w:b/>
                <w:bCs/>
                <w:sz w:val="20"/>
              </w:rPr>
              <w:t xml:space="preserve">nclude </w:t>
            </w:r>
            <w:r>
              <w:rPr>
                <w:b/>
                <w:bCs/>
                <w:sz w:val="20"/>
              </w:rPr>
              <w:t xml:space="preserve">if appropriate: </w:t>
            </w:r>
          </w:p>
        </w:tc>
        <w:tc>
          <w:tcPr>
            <w:tcW w:w="1814" w:type="dxa"/>
            <w:shd w:val="clear" w:color="auto" w:fill="DBE5F1"/>
          </w:tcPr>
          <w:p w14:paraId="0D2E8286" w14:textId="77777777" w:rsidR="0083171C" w:rsidRPr="00F10FCF" w:rsidRDefault="0083171C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</w:p>
        </w:tc>
      </w:tr>
      <w:tr w:rsidR="0083171C" w:rsidRPr="00F10FCF" w14:paraId="62766BB7" w14:textId="77777777" w:rsidTr="0083171C">
        <w:trPr>
          <w:trHeight w:val="514"/>
        </w:trPr>
        <w:tc>
          <w:tcPr>
            <w:tcW w:w="7225" w:type="dxa"/>
            <w:shd w:val="clear" w:color="auto" w:fill="auto"/>
          </w:tcPr>
          <w:p w14:paraId="4CE1EF45" w14:textId="10EBA437" w:rsidR="0083171C" w:rsidRPr="00822200" w:rsidRDefault="00822200" w:rsidP="00822200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22200">
              <w:rPr>
                <w:sz w:val="20"/>
              </w:rPr>
              <w:t>A</w:t>
            </w:r>
            <w:r w:rsidRPr="00822200">
              <w:rPr>
                <w:sz w:val="20"/>
              </w:rPr>
              <w:t xml:space="preserve"> description of any assets backing the fixed income instruments. The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description must include all relevant information about the assets backing the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fixed income instruments including the loan to value ratio or level of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collateralisation or similar. In addition the description must include a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confirmation that the assets backing the fixed income instruments have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characteristics that demonstrate the capacity to produce funds to service any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payments due and payable on the fixed income instruments</w:t>
            </w:r>
            <w:r w:rsidRPr="00822200">
              <w:rPr>
                <w:sz w:val="20"/>
              </w:rPr>
              <w:t>;</w:t>
            </w:r>
          </w:p>
        </w:tc>
        <w:tc>
          <w:tcPr>
            <w:tcW w:w="1814" w:type="dxa"/>
            <w:shd w:val="clear" w:color="auto" w:fill="auto"/>
          </w:tcPr>
          <w:p w14:paraId="12A5172A" w14:textId="77777777" w:rsidR="0083171C" w:rsidRPr="00F10FCF" w:rsidRDefault="0083171C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</w:p>
        </w:tc>
      </w:tr>
      <w:tr w:rsidR="0083171C" w:rsidRPr="00F10FCF" w14:paraId="76C03B7C" w14:textId="77777777" w:rsidTr="0083171C">
        <w:trPr>
          <w:trHeight w:val="514"/>
        </w:trPr>
        <w:tc>
          <w:tcPr>
            <w:tcW w:w="7225" w:type="dxa"/>
            <w:shd w:val="clear" w:color="auto" w:fill="auto"/>
          </w:tcPr>
          <w:p w14:paraId="5A059B2E" w14:textId="023E12E2" w:rsidR="00822200" w:rsidRPr="00822200" w:rsidRDefault="00822200" w:rsidP="00822200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22200">
              <w:rPr>
                <w:sz w:val="20"/>
              </w:rPr>
              <w:t>O</w:t>
            </w:r>
            <w:r w:rsidRPr="00822200">
              <w:rPr>
                <w:sz w:val="20"/>
              </w:rPr>
              <w:t>ther relevant information depending on specific circumstances, such as tax,</w:t>
            </w:r>
          </w:p>
          <w:p w14:paraId="16170D04" w14:textId="22672013" w:rsidR="0083171C" w:rsidRDefault="00822200" w:rsidP="00822200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822200">
              <w:rPr>
                <w:sz w:val="20"/>
              </w:rPr>
              <w:t>litigation etc;</w:t>
            </w:r>
            <w:r w:rsidRPr="0082220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0D5AFD9E" w14:textId="77777777" w:rsidR="0083171C" w:rsidRPr="00F10FCF" w:rsidRDefault="0083171C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</w:p>
        </w:tc>
      </w:tr>
      <w:tr w:rsidR="0083171C" w:rsidRPr="00F10FCF" w14:paraId="53C74BBF" w14:textId="77777777" w:rsidTr="0083171C">
        <w:trPr>
          <w:trHeight w:val="514"/>
        </w:trPr>
        <w:tc>
          <w:tcPr>
            <w:tcW w:w="7225" w:type="dxa"/>
            <w:shd w:val="clear" w:color="auto" w:fill="auto"/>
          </w:tcPr>
          <w:p w14:paraId="4C0F45C9" w14:textId="64762CEE" w:rsidR="0083171C" w:rsidRPr="00822200" w:rsidRDefault="00822200" w:rsidP="00822200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22200">
              <w:rPr>
                <w:sz w:val="20"/>
              </w:rPr>
              <w:lastRenderedPageBreak/>
              <w:t>I</w:t>
            </w:r>
            <w:r w:rsidRPr="00822200">
              <w:rPr>
                <w:sz w:val="20"/>
              </w:rPr>
              <w:t>f an Issuer does not possess documented earnings capacity, information as to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whether the Issuer possesses sufficient financial resources in order to be able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to conduct the planned business for at least twelve months after the fixed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income instruments are admitted to trading. It shall also include information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about when the Issuer expects to be profitable and how the Issuer intends to</w:t>
            </w:r>
            <w:r w:rsidRPr="00822200">
              <w:rPr>
                <w:sz w:val="20"/>
              </w:rPr>
              <w:t xml:space="preserve"> </w:t>
            </w:r>
            <w:r w:rsidRPr="00822200">
              <w:rPr>
                <w:sz w:val="20"/>
              </w:rPr>
              <w:t>finance its operation until such time;</w:t>
            </w:r>
          </w:p>
        </w:tc>
        <w:tc>
          <w:tcPr>
            <w:tcW w:w="1814" w:type="dxa"/>
            <w:shd w:val="clear" w:color="auto" w:fill="auto"/>
          </w:tcPr>
          <w:p w14:paraId="00F50B83" w14:textId="77777777" w:rsidR="0083171C" w:rsidRPr="00F10FCF" w:rsidRDefault="0083171C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</w:p>
        </w:tc>
      </w:tr>
      <w:tr w:rsidR="00544E96" w:rsidRPr="00F10FCF" w14:paraId="353E3054" w14:textId="77777777" w:rsidTr="005A1FCF">
        <w:trPr>
          <w:trHeight w:val="514"/>
        </w:trPr>
        <w:tc>
          <w:tcPr>
            <w:tcW w:w="7225" w:type="dxa"/>
            <w:shd w:val="clear" w:color="auto" w:fill="DBE5F1"/>
          </w:tcPr>
          <w:p w14:paraId="4BD7A038" w14:textId="43164FDC" w:rsidR="00544E96" w:rsidRPr="00F10FCF" w:rsidRDefault="00544E96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F10FCF">
              <w:rPr>
                <w:b/>
                <w:bCs/>
                <w:sz w:val="20"/>
              </w:rPr>
              <w:t>Disclaimer</w:t>
            </w:r>
          </w:p>
        </w:tc>
        <w:tc>
          <w:tcPr>
            <w:tcW w:w="1814" w:type="dxa"/>
            <w:shd w:val="clear" w:color="auto" w:fill="DBE5F1"/>
          </w:tcPr>
          <w:p w14:paraId="2A2A5651" w14:textId="77777777" w:rsidR="00544E96" w:rsidRPr="00F10FCF" w:rsidRDefault="00544E96" w:rsidP="005A1FCF">
            <w:pPr>
              <w:pStyle w:val="Title"/>
              <w:spacing w:before="120" w:after="120"/>
              <w:jc w:val="left"/>
              <w:rPr>
                <w:b/>
                <w:bCs/>
                <w:sz w:val="20"/>
              </w:rPr>
            </w:pPr>
            <w:r w:rsidRPr="00F10FCF">
              <w:rPr>
                <w:b/>
                <w:bCs/>
                <w:sz w:val="20"/>
              </w:rPr>
              <w:t>Pages in the company description</w:t>
            </w:r>
          </w:p>
        </w:tc>
      </w:tr>
      <w:tr w:rsidR="00544E96" w:rsidRPr="00086837" w14:paraId="6ED9F50C" w14:textId="77777777" w:rsidTr="005A1FCF">
        <w:trPr>
          <w:trHeight w:val="514"/>
        </w:trPr>
        <w:tc>
          <w:tcPr>
            <w:tcW w:w="7225" w:type="dxa"/>
            <w:tcBorders>
              <w:bottom w:val="single" w:sz="4" w:space="0" w:color="auto"/>
            </w:tcBorders>
          </w:tcPr>
          <w:p w14:paraId="5A1B1CC5" w14:textId="4EA5A55F" w:rsidR="00544E96" w:rsidRDefault="0083171C" w:rsidP="0083171C">
            <w:pPr>
              <w:pStyle w:val="Title"/>
              <w:spacing w:before="120" w:after="120"/>
              <w:jc w:val="left"/>
              <w:rPr>
                <w:sz w:val="20"/>
              </w:rPr>
            </w:pPr>
            <w:r w:rsidRPr="0083171C">
              <w:rPr>
                <w:sz w:val="20"/>
              </w:rPr>
              <w:t>A disclaimer concerning FN ICE Fixed Income shall be put on the first page of the</w:t>
            </w:r>
            <w:r>
              <w:rPr>
                <w:sz w:val="20"/>
              </w:rPr>
              <w:t xml:space="preserve"> </w:t>
            </w:r>
            <w:r w:rsidRPr="0083171C">
              <w:rPr>
                <w:sz w:val="20"/>
              </w:rPr>
              <w:t>Company Description (see Appendix A</w:t>
            </w:r>
            <w:r w:rsidR="003D4DB9">
              <w:rPr>
                <w:sz w:val="20"/>
              </w:rPr>
              <w:t xml:space="preserve"> in First North Iceland Fixed Income Rulebook</w:t>
            </w:r>
            <w:r w:rsidRPr="0083171C">
              <w:rPr>
                <w:sz w:val="20"/>
              </w:rPr>
              <w:t>).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D2BA807" w14:textId="77777777" w:rsidR="00544E96" w:rsidRPr="00086837" w:rsidRDefault="00544E96" w:rsidP="005A1FCF">
            <w:pPr>
              <w:pStyle w:val="Title"/>
              <w:spacing w:before="120" w:after="120"/>
              <w:jc w:val="left"/>
              <w:rPr>
                <w:sz w:val="20"/>
              </w:rPr>
            </w:pPr>
          </w:p>
        </w:tc>
      </w:tr>
    </w:tbl>
    <w:p w14:paraId="63357915" w14:textId="6E76DFBB" w:rsidR="0066271A" w:rsidRDefault="0066271A"/>
    <w:p w14:paraId="6171F594" w14:textId="77777777" w:rsidR="00086837" w:rsidRDefault="00086837"/>
    <w:p w14:paraId="05C1B7C8" w14:textId="77777777" w:rsidR="00EA3BC1" w:rsidRPr="00D640C6" w:rsidRDefault="00EA3BC1">
      <w:pPr>
        <w:rPr>
          <w:lang w:val="is-IS"/>
        </w:rPr>
      </w:pPr>
    </w:p>
    <w:sectPr w:rsidR="00EA3BC1" w:rsidRPr="00D640C6" w:rsidSect="00BF172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61" w:right="1394" w:bottom="709" w:left="150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B383F" w14:textId="77777777" w:rsidR="00827739" w:rsidRDefault="00827739" w:rsidP="00BF411E">
      <w:pPr>
        <w:spacing w:line="240" w:lineRule="auto"/>
      </w:pPr>
      <w:r>
        <w:separator/>
      </w:r>
    </w:p>
  </w:endnote>
  <w:endnote w:type="continuationSeparator" w:id="0">
    <w:p w14:paraId="7F94ECA9" w14:textId="77777777" w:rsidR="00827739" w:rsidRDefault="00827739" w:rsidP="00B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2702" w14:textId="77777777" w:rsidR="00CD533D" w:rsidRPr="005B0FA8" w:rsidRDefault="00CD533D" w:rsidP="00D30F24">
    <w:pPr>
      <w:pStyle w:val="Footer"/>
    </w:pPr>
    <w:r w:rsidRPr="005B0FA8">
      <w:tab/>
    </w:r>
    <w:r w:rsidRPr="005B0FA8">
      <w:tab/>
    </w:r>
    <w:r w:rsidR="000F7CAB">
      <w:fldChar w:fldCharType="begin"/>
    </w:r>
    <w:r w:rsidR="000F7CAB">
      <w:instrText xml:space="preserve"> PAGE </w:instrText>
    </w:r>
    <w:r w:rsidR="000F7CAB">
      <w:fldChar w:fldCharType="separate"/>
    </w:r>
    <w:r w:rsidR="00CE441E">
      <w:rPr>
        <w:noProof/>
      </w:rPr>
      <w:t>2</w:t>
    </w:r>
    <w:r w:rsidR="000F7CAB">
      <w:rPr>
        <w:noProof/>
      </w:rPr>
      <w:fldChar w:fldCharType="end"/>
    </w:r>
    <w:r w:rsidRPr="005B0FA8">
      <w:t>(</w:t>
    </w:r>
    <w:r w:rsidR="00967A76">
      <w:fldChar w:fldCharType="begin"/>
    </w:r>
    <w:r w:rsidR="00967A76">
      <w:instrText xml:space="preserve"> NUMPAGES </w:instrText>
    </w:r>
    <w:r w:rsidR="00967A76">
      <w:fldChar w:fldCharType="separate"/>
    </w:r>
    <w:r w:rsidR="00CE441E">
      <w:rPr>
        <w:noProof/>
      </w:rPr>
      <w:t>2</w:t>
    </w:r>
    <w:r w:rsidR="00967A76">
      <w:rPr>
        <w:noProof/>
      </w:rPr>
      <w:fldChar w:fldCharType="end"/>
    </w:r>
    <w:r w:rsidRPr="005B0FA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D073" w14:textId="77777777" w:rsidR="00CD533D" w:rsidRDefault="00CD533D" w:rsidP="00D30F24">
    <w:pPr>
      <w:pStyle w:val="Footer"/>
      <w:tabs>
        <w:tab w:val="clear" w:pos="4459"/>
        <w:tab w:val="clear" w:pos="8901"/>
        <w:tab w:val="left" w:pos="5535"/>
      </w:tabs>
      <w:spacing w:before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2063" w14:textId="77777777" w:rsidR="00827739" w:rsidRDefault="00827739" w:rsidP="00BF411E">
      <w:pPr>
        <w:spacing w:line="240" w:lineRule="auto"/>
      </w:pPr>
      <w:r>
        <w:separator/>
      </w:r>
    </w:p>
  </w:footnote>
  <w:footnote w:type="continuationSeparator" w:id="0">
    <w:p w14:paraId="46C82669" w14:textId="77777777" w:rsidR="00827739" w:rsidRDefault="00827739" w:rsidP="00B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54727" w14:textId="56B11AA3" w:rsidR="00CD533D" w:rsidRDefault="00F10FCF" w:rsidP="00232840">
    <w:pPr>
      <w:spacing w:after="960"/>
      <w:jc w:val="right"/>
    </w:pPr>
    <w:r>
      <w:rPr>
        <w:noProof/>
      </w:rPr>
      <w:drawing>
        <wp:inline distT="0" distB="0" distL="0" distR="0" wp14:anchorId="6357D633" wp14:editId="3BC14D73">
          <wp:extent cx="1962569" cy="49859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418" cy="54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2D40" w14:textId="6FBAC609" w:rsidR="00CD533D" w:rsidRDefault="00544E96" w:rsidP="00F10FCF">
    <w:pPr>
      <w:spacing w:after="960"/>
      <w:jc w:val="right"/>
    </w:pPr>
    <w:r>
      <w:rPr>
        <w:noProof/>
      </w:rPr>
      <w:drawing>
        <wp:inline distT="0" distB="0" distL="0" distR="0" wp14:anchorId="6B4C2C7F" wp14:editId="48443447">
          <wp:extent cx="1962569" cy="4985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418" cy="54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5"/>
    <w:rsid w:val="000062D9"/>
    <w:rsid w:val="000150D5"/>
    <w:rsid w:val="00024174"/>
    <w:rsid w:val="000358CB"/>
    <w:rsid w:val="00050C63"/>
    <w:rsid w:val="0008291B"/>
    <w:rsid w:val="00083155"/>
    <w:rsid w:val="00086837"/>
    <w:rsid w:val="00095E53"/>
    <w:rsid w:val="000D1E24"/>
    <w:rsid w:val="000E2D85"/>
    <w:rsid w:val="000E6432"/>
    <w:rsid w:val="000F7CAB"/>
    <w:rsid w:val="00113E7F"/>
    <w:rsid w:val="00156E97"/>
    <w:rsid w:val="001629D4"/>
    <w:rsid w:val="00172FA2"/>
    <w:rsid w:val="001779BD"/>
    <w:rsid w:val="001809BB"/>
    <w:rsid w:val="00186CCB"/>
    <w:rsid w:val="00187FB0"/>
    <w:rsid w:val="001C1A84"/>
    <w:rsid w:val="001C1C05"/>
    <w:rsid w:val="001D1DA2"/>
    <w:rsid w:val="001E7903"/>
    <w:rsid w:val="001F0575"/>
    <w:rsid w:val="001F10F8"/>
    <w:rsid w:val="001F1320"/>
    <w:rsid w:val="001F66E5"/>
    <w:rsid w:val="00207C8E"/>
    <w:rsid w:val="00220409"/>
    <w:rsid w:val="00232840"/>
    <w:rsid w:val="002E5017"/>
    <w:rsid w:val="002F498C"/>
    <w:rsid w:val="003116B0"/>
    <w:rsid w:val="00326BC3"/>
    <w:rsid w:val="00356BED"/>
    <w:rsid w:val="003817F5"/>
    <w:rsid w:val="00383353"/>
    <w:rsid w:val="00392181"/>
    <w:rsid w:val="003A290F"/>
    <w:rsid w:val="003C7208"/>
    <w:rsid w:val="003D4DB9"/>
    <w:rsid w:val="003D74A1"/>
    <w:rsid w:val="003E77AE"/>
    <w:rsid w:val="003F176E"/>
    <w:rsid w:val="00400529"/>
    <w:rsid w:val="0041712F"/>
    <w:rsid w:val="004263E3"/>
    <w:rsid w:val="00451EF2"/>
    <w:rsid w:val="004649D4"/>
    <w:rsid w:val="00470AAE"/>
    <w:rsid w:val="0047356E"/>
    <w:rsid w:val="004838A8"/>
    <w:rsid w:val="004D4498"/>
    <w:rsid w:val="004E3FC0"/>
    <w:rsid w:val="004E755E"/>
    <w:rsid w:val="00535DCA"/>
    <w:rsid w:val="00543ADC"/>
    <w:rsid w:val="00544E96"/>
    <w:rsid w:val="005B5CA1"/>
    <w:rsid w:val="005C54AA"/>
    <w:rsid w:val="005D3262"/>
    <w:rsid w:val="005D5217"/>
    <w:rsid w:val="005D6C63"/>
    <w:rsid w:val="005E4B56"/>
    <w:rsid w:val="005E7B91"/>
    <w:rsid w:val="005F7956"/>
    <w:rsid w:val="00613EB2"/>
    <w:rsid w:val="00632A4C"/>
    <w:rsid w:val="0065494E"/>
    <w:rsid w:val="0066271A"/>
    <w:rsid w:val="0066657B"/>
    <w:rsid w:val="00666AEA"/>
    <w:rsid w:val="0068531F"/>
    <w:rsid w:val="006A6D25"/>
    <w:rsid w:val="006B185A"/>
    <w:rsid w:val="006B3467"/>
    <w:rsid w:val="006F2D93"/>
    <w:rsid w:val="00737271"/>
    <w:rsid w:val="00751166"/>
    <w:rsid w:val="00757E3E"/>
    <w:rsid w:val="00764870"/>
    <w:rsid w:val="007A5A19"/>
    <w:rsid w:val="007C5FEF"/>
    <w:rsid w:val="007F6CA1"/>
    <w:rsid w:val="00802271"/>
    <w:rsid w:val="0080617A"/>
    <w:rsid w:val="00810EF2"/>
    <w:rsid w:val="00822200"/>
    <w:rsid w:val="00827739"/>
    <w:rsid w:val="0083171C"/>
    <w:rsid w:val="00875B97"/>
    <w:rsid w:val="00896D46"/>
    <w:rsid w:val="00896E48"/>
    <w:rsid w:val="008B4F66"/>
    <w:rsid w:val="008B7681"/>
    <w:rsid w:val="008F57BE"/>
    <w:rsid w:val="00906B58"/>
    <w:rsid w:val="009619A9"/>
    <w:rsid w:val="00967A76"/>
    <w:rsid w:val="009C7120"/>
    <w:rsid w:val="009D13F5"/>
    <w:rsid w:val="009D7FEE"/>
    <w:rsid w:val="009E54FF"/>
    <w:rsid w:val="00A02097"/>
    <w:rsid w:val="00A031B6"/>
    <w:rsid w:val="00A45ECE"/>
    <w:rsid w:val="00AA2886"/>
    <w:rsid w:val="00AC3AB1"/>
    <w:rsid w:val="00AC7C86"/>
    <w:rsid w:val="00AE160C"/>
    <w:rsid w:val="00AF1281"/>
    <w:rsid w:val="00B0620C"/>
    <w:rsid w:val="00B25DF3"/>
    <w:rsid w:val="00B37C3C"/>
    <w:rsid w:val="00B7449D"/>
    <w:rsid w:val="00B75182"/>
    <w:rsid w:val="00BB00D2"/>
    <w:rsid w:val="00BD1C99"/>
    <w:rsid w:val="00BF1725"/>
    <w:rsid w:val="00BF411E"/>
    <w:rsid w:val="00C0787D"/>
    <w:rsid w:val="00C21175"/>
    <w:rsid w:val="00C42B98"/>
    <w:rsid w:val="00C7364D"/>
    <w:rsid w:val="00C852FC"/>
    <w:rsid w:val="00C9290E"/>
    <w:rsid w:val="00CA2A0F"/>
    <w:rsid w:val="00CC0374"/>
    <w:rsid w:val="00CD2312"/>
    <w:rsid w:val="00CD533D"/>
    <w:rsid w:val="00CE441E"/>
    <w:rsid w:val="00CF681D"/>
    <w:rsid w:val="00D03E19"/>
    <w:rsid w:val="00D30F24"/>
    <w:rsid w:val="00D640C6"/>
    <w:rsid w:val="00D6743B"/>
    <w:rsid w:val="00D7287F"/>
    <w:rsid w:val="00D80C13"/>
    <w:rsid w:val="00D95477"/>
    <w:rsid w:val="00D95514"/>
    <w:rsid w:val="00DA47AD"/>
    <w:rsid w:val="00DB4506"/>
    <w:rsid w:val="00DD3437"/>
    <w:rsid w:val="00DE2980"/>
    <w:rsid w:val="00E024E5"/>
    <w:rsid w:val="00E07574"/>
    <w:rsid w:val="00E70846"/>
    <w:rsid w:val="00E72776"/>
    <w:rsid w:val="00E74E5E"/>
    <w:rsid w:val="00E80972"/>
    <w:rsid w:val="00EA3BC1"/>
    <w:rsid w:val="00EA5A49"/>
    <w:rsid w:val="00EA72FF"/>
    <w:rsid w:val="00EC23E9"/>
    <w:rsid w:val="00ED23C8"/>
    <w:rsid w:val="00EE61CB"/>
    <w:rsid w:val="00F10FCF"/>
    <w:rsid w:val="00F4140D"/>
    <w:rsid w:val="00F67304"/>
    <w:rsid w:val="00F93C3E"/>
    <w:rsid w:val="00F9482F"/>
    <w:rsid w:val="00F96E88"/>
    <w:rsid w:val="00FB1150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B5A0F"/>
  <w15:docId w15:val="{91D2BB26-BCE7-43D2-846B-FBB3093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25"/>
    <w:pPr>
      <w:spacing w:after="0" w:line="260" w:lineRule="atLeas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1725"/>
    <w:pPr>
      <w:tabs>
        <w:tab w:val="center" w:pos="4459"/>
        <w:tab w:val="right" w:pos="8901"/>
      </w:tabs>
      <w:spacing w:before="240"/>
    </w:pPr>
  </w:style>
  <w:style w:type="character" w:customStyle="1" w:styleId="FooterChar">
    <w:name w:val="Footer Char"/>
    <w:basedOn w:val="DefaultParagraphFont"/>
    <w:link w:val="Footer"/>
    <w:rsid w:val="00BF172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833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5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C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CB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086837"/>
    <w:pPr>
      <w:spacing w:line="240" w:lineRule="auto"/>
      <w:jc w:val="center"/>
    </w:pPr>
    <w:rPr>
      <w:sz w:val="40"/>
      <w:lang w:val="en-AU"/>
    </w:rPr>
  </w:style>
  <w:style w:type="character" w:customStyle="1" w:styleId="TitleChar">
    <w:name w:val="Title Char"/>
    <w:basedOn w:val="DefaultParagraphFont"/>
    <w:link w:val="Title"/>
    <w:rsid w:val="00086837"/>
    <w:rPr>
      <w:rFonts w:ascii="Times New Roman" w:eastAsia="Times New Roman" w:hAnsi="Times New Roman" w:cs="Times New Roman"/>
      <w:sz w:val="4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2616-A563-4731-A002-01D64595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Nasdaq OMX Group, Inc.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Baldur Thorlacius</dc:creator>
  <cp:lastModifiedBy>Guðrún Özurardóttir</cp:lastModifiedBy>
  <cp:revision>8</cp:revision>
  <cp:lastPrinted>2014-09-10T14:04:00Z</cp:lastPrinted>
  <dcterms:created xsi:type="dcterms:W3CDTF">2021-03-16T11:55:00Z</dcterms:created>
  <dcterms:modified xsi:type="dcterms:W3CDTF">2021-03-16T13:38:00Z</dcterms:modified>
</cp:coreProperties>
</file>